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84"/>
        <w:rPr>
          <w:rFonts w:ascii="微软雅黑" w:hAnsi="微软雅黑" w:eastAsia="微软雅黑"/>
          <w:b/>
          <w:sz w:val="44"/>
        </w:rPr>
      </w:pPr>
    </w:p>
    <w:p>
      <w:pPr>
        <w:ind w:right="884"/>
        <w:rPr>
          <w:rFonts w:ascii="微软雅黑" w:hAnsi="微软雅黑" w:eastAsia="微软雅黑"/>
          <w:b/>
          <w:sz w:val="44"/>
        </w:rPr>
      </w:pPr>
    </w:p>
    <w:p>
      <w:pPr>
        <w:ind w:right="884"/>
        <w:rPr>
          <w:rFonts w:ascii="微软雅黑" w:hAnsi="微软雅黑" w:eastAsia="微软雅黑"/>
          <w:b/>
          <w:sz w:val="44"/>
        </w:rPr>
      </w:pPr>
    </w:p>
    <w:p>
      <w:pPr>
        <w:pStyle w:val="14"/>
        <w:ind w:firstLine="0" w:firstLineChars="0"/>
        <w:jc w:val="center"/>
        <w:rPr>
          <w:rFonts w:ascii="微软雅黑" w:hAnsi="微软雅黑" w:eastAsia="微软雅黑"/>
        </w:rPr>
      </w:pPr>
    </w:p>
    <w:p>
      <w:pPr>
        <w:pStyle w:val="14"/>
        <w:ind w:firstLine="0" w:firstLineChars="0"/>
        <w:jc w:val="center"/>
        <w:rPr>
          <w:rFonts w:ascii="微软雅黑" w:hAnsi="微软雅黑" w:eastAsia="微软雅黑"/>
          <w:b/>
          <w:sz w:val="44"/>
        </w:rPr>
      </w:pPr>
    </w:p>
    <w:p>
      <w:pPr>
        <w:pStyle w:val="14"/>
        <w:ind w:firstLine="0" w:firstLineChars="0"/>
        <w:jc w:val="center"/>
        <w:rPr>
          <w:rFonts w:ascii="微软雅黑" w:hAnsi="微软雅黑" w:eastAsia="微软雅黑"/>
          <w:b/>
          <w:sz w:val="44"/>
        </w:rPr>
      </w:pPr>
      <w:r>
        <w:rPr>
          <w:rFonts w:hint="eastAsia" w:ascii="微软雅黑" w:hAnsi="微软雅黑" w:eastAsia="微软雅黑"/>
          <w:b/>
          <w:sz w:val="44"/>
        </w:rPr>
        <w:t>中国医学科学院整形外科医院</w:t>
      </w:r>
    </w:p>
    <w:p>
      <w:pPr>
        <w:pStyle w:val="14"/>
        <w:ind w:firstLine="0" w:firstLineChars="0"/>
        <w:jc w:val="center"/>
        <w:rPr>
          <w:rFonts w:ascii="微软雅黑" w:hAnsi="微软雅黑" w:eastAsia="微软雅黑"/>
          <w:b/>
          <w:sz w:val="44"/>
        </w:rPr>
      </w:pPr>
      <w:r>
        <w:rPr>
          <w:rFonts w:hint="eastAsia" w:ascii="微软雅黑" w:hAnsi="微软雅黑" w:eastAsia="微软雅黑"/>
          <w:b/>
          <w:sz w:val="44"/>
        </w:rPr>
        <w:t>医疗影像系统</w:t>
      </w:r>
      <w:r>
        <w:rPr>
          <w:rFonts w:hint="eastAsia" w:ascii="微软雅黑" w:hAnsi="微软雅黑" w:eastAsia="微软雅黑"/>
          <w:b/>
          <w:sz w:val="44"/>
          <w:lang w:val="en-US" w:eastAsia="zh-CN"/>
        </w:rPr>
        <w:t>升级</w:t>
      </w:r>
      <w:r>
        <w:rPr>
          <w:rFonts w:hint="eastAsia" w:ascii="微软雅黑" w:hAnsi="微软雅黑" w:eastAsia="微软雅黑"/>
          <w:b/>
          <w:sz w:val="44"/>
        </w:rPr>
        <w:t>技术需求</w:t>
      </w:r>
    </w:p>
    <w:p>
      <w:pPr>
        <w:pStyle w:val="14"/>
        <w:ind w:firstLine="0" w:firstLineChars="0"/>
        <w:jc w:val="center"/>
        <w:rPr>
          <w:rFonts w:ascii="微软雅黑" w:hAnsi="微软雅黑" w:eastAsia="微软雅黑"/>
          <w:b/>
          <w:sz w:val="44"/>
        </w:rPr>
      </w:pPr>
    </w:p>
    <w:p>
      <w:pPr>
        <w:pStyle w:val="14"/>
        <w:spacing w:line="360" w:lineRule="auto"/>
        <w:ind w:firstLine="0" w:firstLineChars="0"/>
        <w:jc w:val="center"/>
        <w:rPr>
          <w:rFonts w:ascii="微软雅黑" w:hAnsi="微软雅黑" w:eastAsia="微软雅黑"/>
          <w:b/>
        </w:rPr>
      </w:pPr>
    </w:p>
    <w:p>
      <w:pPr>
        <w:pStyle w:val="14"/>
        <w:ind w:firstLine="0" w:firstLineChars="0"/>
        <w:jc w:val="center"/>
        <w:rPr>
          <w:rFonts w:ascii="微软雅黑" w:hAnsi="微软雅黑" w:eastAsia="微软雅黑"/>
          <w:b/>
        </w:rPr>
      </w:pPr>
    </w:p>
    <w:p>
      <w:pPr>
        <w:pStyle w:val="14"/>
        <w:ind w:firstLine="0" w:firstLineChars="0"/>
        <w:jc w:val="center"/>
        <w:rPr>
          <w:rFonts w:ascii="微软雅黑" w:hAnsi="微软雅黑" w:eastAsia="微软雅黑"/>
        </w:rPr>
      </w:pPr>
    </w:p>
    <w:p>
      <w:pPr>
        <w:pStyle w:val="14"/>
        <w:ind w:firstLine="0" w:firstLineChars="0"/>
        <w:jc w:val="center"/>
        <w:rPr>
          <w:rFonts w:ascii="微软雅黑" w:hAnsi="微软雅黑" w:eastAsia="微软雅黑"/>
        </w:rPr>
      </w:pPr>
    </w:p>
    <w:p>
      <w:pPr>
        <w:pStyle w:val="14"/>
        <w:ind w:firstLine="0" w:firstLineChars="0"/>
        <w:jc w:val="center"/>
        <w:rPr>
          <w:rFonts w:hint="eastAsia" w:ascii="微软雅黑" w:hAnsi="微软雅黑" w:eastAsia="微软雅黑"/>
        </w:rPr>
      </w:pPr>
    </w:p>
    <w:p>
      <w:pPr>
        <w:pStyle w:val="14"/>
        <w:ind w:firstLine="0" w:firstLineChars="0"/>
        <w:jc w:val="center"/>
        <w:rPr>
          <w:rFonts w:ascii="微软雅黑" w:hAnsi="微软雅黑" w:eastAsia="微软雅黑"/>
        </w:rPr>
      </w:pPr>
    </w:p>
    <w:p>
      <w:pPr>
        <w:pStyle w:val="14"/>
        <w:ind w:firstLine="0" w:firstLineChars="0"/>
        <w:jc w:val="center"/>
        <w:rPr>
          <w:rFonts w:hint="eastAsia" w:ascii="微软雅黑" w:hAnsi="微软雅黑" w:eastAsia="微软雅黑"/>
        </w:rPr>
      </w:pPr>
    </w:p>
    <w:p>
      <w:pPr>
        <w:pStyle w:val="14"/>
        <w:ind w:firstLine="0" w:firstLineChars="0"/>
        <w:jc w:val="center"/>
        <w:rPr>
          <w:rFonts w:ascii="微软雅黑" w:hAnsi="微软雅黑" w:eastAsia="微软雅黑"/>
        </w:rPr>
      </w:pPr>
    </w:p>
    <w:p>
      <w:pPr>
        <w:pStyle w:val="9"/>
        <w:tabs>
          <w:tab w:val="left" w:pos="560"/>
          <w:tab w:val="right" w:leader="dot" w:pos="9060"/>
        </w:tabs>
        <w:wordWrap w:val="0"/>
        <w:jc w:val="center"/>
        <w:rPr>
          <w:rFonts w:ascii="微软雅黑" w:hAnsi="微软雅黑"/>
          <w:sz w:val="28"/>
          <w:szCs w:val="28"/>
        </w:rPr>
      </w:pPr>
      <w:r>
        <w:rPr>
          <w:rFonts w:ascii="微软雅黑" w:hAnsi="微软雅黑"/>
          <w:sz w:val="21"/>
          <w:szCs w:val="21"/>
        </w:rPr>
        <w:br w:type="page"/>
      </w:r>
      <w:r>
        <w:rPr>
          <w:rFonts w:hint="eastAsia" w:ascii="微软雅黑" w:hAnsi="微软雅黑"/>
          <w:sz w:val="28"/>
          <w:szCs w:val="28"/>
        </w:rPr>
        <w:t>目录</w:t>
      </w:r>
    </w:p>
    <w:p>
      <w:pPr>
        <w:pStyle w:val="9"/>
        <w:tabs>
          <w:tab w:val="left" w:pos="840"/>
          <w:tab w:val="right" w:leader="dot" w:pos="8540"/>
        </w:tabs>
        <w:rPr>
          <w:rFonts w:hint="eastAsia" w:ascii="等线" w:hAnsi="等线" w:eastAsia="等线"/>
          <w:b w:val="0"/>
          <w:bCs w:val="0"/>
          <w:caps w:val="0"/>
          <w:sz w:val="22"/>
          <w:szCs w:val="24"/>
        </w:rPr>
      </w:pPr>
      <w:r>
        <w:rPr>
          <w:rFonts w:ascii="微软雅黑" w:hAnsi="微软雅黑"/>
          <w:b w:val="0"/>
          <w:bCs w:val="0"/>
          <w:caps w:val="0"/>
          <w:sz w:val="21"/>
          <w:szCs w:val="21"/>
        </w:rPr>
        <w:fldChar w:fldCharType="begin"/>
      </w:r>
      <w:r>
        <w:rPr>
          <w:rFonts w:ascii="微软雅黑" w:hAnsi="微软雅黑"/>
          <w:b w:val="0"/>
          <w:bCs w:val="0"/>
          <w:caps w:val="0"/>
          <w:sz w:val="21"/>
          <w:szCs w:val="21"/>
        </w:rPr>
        <w:instrText xml:space="preserve"> TOC \o "1-3" \h \z \u </w:instrText>
      </w:r>
      <w:r>
        <w:rPr>
          <w:rFonts w:ascii="微软雅黑" w:hAnsi="微软雅黑"/>
          <w:b w:val="0"/>
          <w:bCs w:val="0"/>
          <w:caps w:val="0"/>
          <w:sz w:val="21"/>
          <w:szCs w:val="21"/>
        </w:rPr>
        <w:fldChar w:fldCharType="separate"/>
      </w: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"_Toc202292317"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cs="Arial"/>
        </w:rPr>
        <w:t>一、</w:t>
      </w:r>
      <w:r>
        <w:rPr>
          <w:rFonts w:hint="eastAsia" w:ascii="等线" w:hAnsi="等线" w:eastAsia="等线"/>
          <w:b w:val="0"/>
          <w:bCs w:val="0"/>
          <w:caps w:val="0"/>
          <w:sz w:val="22"/>
          <w:szCs w:val="24"/>
        </w:rPr>
        <w:tab/>
      </w:r>
      <w:r>
        <w:rPr>
          <w:rStyle w:val="13"/>
          <w:rFonts w:hint="eastAsia"/>
        </w:rPr>
        <w:t>项目背景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_Toc202292317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9"/>
        <w:tabs>
          <w:tab w:val="left" w:pos="840"/>
          <w:tab w:val="right" w:leader="dot" w:pos="8540"/>
        </w:tabs>
        <w:rPr>
          <w:rFonts w:hint="eastAsia" w:ascii="等线" w:hAnsi="等线" w:eastAsia="等线"/>
          <w:b w:val="0"/>
          <w:bCs w:val="0"/>
          <w:cap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"_Toc202292318"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cs="Arial"/>
        </w:rPr>
        <w:t>二、</w:t>
      </w:r>
      <w:r>
        <w:rPr>
          <w:rFonts w:hint="eastAsia" w:ascii="等线" w:hAnsi="等线" w:eastAsia="等线"/>
          <w:b w:val="0"/>
          <w:bCs w:val="0"/>
          <w:caps w:val="0"/>
          <w:sz w:val="22"/>
          <w:szCs w:val="24"/>
        </w:rPr>
        <w:tab/>
      </w:r>
      <w:r>
        <w:rPr>
          <w:rStyle w:val="13"/>
          <w:rFonts w:hint="eastAsia"/>
        </w:rPr>
        <w:t>采购需求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_Toc202292318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10"/>
        <w:tabs>
          <w:tab w:val="left" w:pos="840"/>
          <w:tab w:val="right" w:leader="dot" w:pos="8540"/>
        </w:tabs>
        <w:rPr>
          <w:rFonts w:hint="eastAsia" w:ascii="等线" w:hAnsi="等线" w:eastAsia="等线"/>
          <w:smallCap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"_Toc202292319"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2.1</w:t>
      </w:r>
      <w:r>
        <w:rPr>
          <w:rFonts w:hint="eastAsia" w:ascii="等线" w:hAnsi="等线" w:eastAsia="等线"/>
          <w:smallCaps w:val="0"/>
          <w:sz w:val="22"/>
          <w:szCs w:val="24"/>
        </w:rPr>
        <w:tab/>
      </w:r>
      <w:r>
        <w:rPr>
          <w:rStyle w:val="13"/>
          <w:rFonts w:hint="eastAsia"/>
        </w:rPr>
        <w:t>医疗影像系统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_Toc202292319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"_Toc202292320"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2.1.1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医学影像数据服务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_Toc202292320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"_Toc202292321"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2.1.2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DICOM支持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_Toc202292321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"_Toc202292322"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2.1.3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影像存储管理服务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_Toc202292322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"_Toc202292323"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2.1.4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影像调阅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_Toc202292323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10"/>
        <w:tabs>
          <w:tab w:val="left" w:pos="840"/>
          <w:tab w:val="right" w:leader="dot" w:pos="8540"/>
        </w:tabs>
        <w:rPr>
          <w:rFonts w:hint="eastAsia" w:ascii="等线" w:hAnsi="等线" w:eastAsia="等线"/>
          <w:smallCap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"_Toc202292324"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2.2</w:t>
      </w:r>
      <w:r>
        <w:rPr>
          <w:rFonts w:hint="eastAsia" w:ascii="等线" w:hAnsi="等线" w:eastAsia="等线"/>
          <w:smallCaps w:val="0"/>
          <w:sz w:val="22"/>
          <w:szCs w:val="24"/>
        </w:rPr>
        <w:tab/>
      </w:r>
      <w:r>
        <w:rPr>
          <w:rStyle w:val="13"/>
          <w:rFonts w:hint="eastAsia"/>
        </w:rPr>
        <w:t>放射管理系统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_Toc202292324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4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"_Toc202292325"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2.2.1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登记工作站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_Toc202292325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4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"_Toc202292326"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2.2.2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技师工作站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_Toc202292326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4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"_Toc202292327"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2.2.3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报告工作站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_Toc202292327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4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"_Toc202292328"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2.2.4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主任工作站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_Toc202292328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"_Toc202292329"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2.2.5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排队叫号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_Toc202292329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10"/>
        <w:tabs>
          <w:tab w:val="left" w:pos="840"/>
          <w:tab w:val="right" w:leader="dot" w:pos="8540"/>
        </w:tabs>
        <w:rPr>
          <w:rFonts w:hint="eastAsia" w:ascii="等线" w:hAnsi="等线" w:eastAsia="等线"/>
          <w:smallCap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"_Toc202292330"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2.3</w:t>
      </w:r>
      <w:r>
        <w:rPr>
          <w:rFonts w:hint="eastAsia" w:ascii="等线" w:hAnsi="等线" w:eastAsia="等线"/>
          <w:smallCaps w:val="0"/>
          <w:sz w:val="22"/>
          <w:szCs w:val="24"/>
        </w:rPr>
        <w:tab/>
      </w:r>
      <w:r>
        <w:rPr>
          <w:rStyle w:val="13"/>
          <w:rFonts w:hint="eastAsia"/>
        </w:rPr>
        <w:t>超声管理系统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_Toc202292330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"_Toc202292331"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2.3.1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登记工作站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_Toc202292331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"_Toc202292332"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2.3.2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图像采集及报告工作站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_Toc202292332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"_Toc202292333"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2.3.3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归档管理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_Toc202292333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"_Toc202292334"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2.3.4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主任管理工作站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_Toc202292334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"_Toc202292335"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2.3.5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排队叫号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_Toc202292335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10"/>
        <w:tabs>
          <w:tab w:val="left" w:pos="840"/>
          <w:tab w:val="right" w:leader="dot" w:pos="8540"/>
        </w:tabs>
        <w:rPr>
          <w:rFonts w:hint="eastAsia" w:ascii="等线" w:hAnsi="等线" w:eastAsia="等线"/>
          <w:smallCap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"_Toc202292336"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2.4</w:t>
      </w:r>
      <w:r>
        <w:rPr>
          <w:rFonts w:hint="eastAsia" w:ascii="等线" w:hAnsi="等线" w:eastAsia="等线"/>
          <w:smallCaps w:val="0"/>
          <w:sz w:val="22"/>
          <w:szCs w:val="24"/>
        </w:rPr>
        <w:tab/>
      </w:r>
      <w:r>
        <w:rPr>
          <w:rStyle w:val="13"/>
          <w:rFonts w:hint="eastAsia"/>
        </w:rPr>
        <w:t>内镜管理系统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_Toc202292336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"_Toc202292337"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2.4.1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登记工作站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_Toc202292337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"_Toc202292338"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2.4.2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图像采集及报告工作站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_Toc202292338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"_Toc202292339"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2.4.3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归档管理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_Toc202292339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6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"_Toc202292340"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2.4.4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主任管理工作站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_Toc202292340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6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7"/>
        <w:rPr>
          <w:rFonts w:hint="eastAsia" w:ascii="等线" w:hAnsi="等线" w:eastAsia="等线"/>
          <w:iC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"_Toc202292341"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2.4.5</w:t>
      </w:r>
      <w:r>
        <w:rPr>
          <w:rFonts w:hint="eastAsia" w:ascii="等线" w:hAnsi="等线" w:eastAsia="等线"/>
          <w:iCs w:val="0"/>
          <w:sz w:val="22"/>
          <w:szCs w:val="24"/>
        </w:rPr>
        <w:tab/>
      </w:r>
      <w:r>
        <w:rPr>
          <w:rStyle w:val="13"/>
          <w:rFonts w:hint="eastAsia"/>
        </w:rPr>
        <w:t>排队叫号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_Toc202292341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6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pStyle w:val="10"/>
        <w:tabs>
          <w:tab w:val="left" w:pos="840"/>
          <w:tab w:val="right" w:leader="dot" w:pos="8540"/>
        </w:tabs>
        <w:rPr>
          <w:rFonts w:hint="eastAsia" w:ascii="等线" w:hAnsi="等线" w:eastAsia="等线"/>
          <w:smallCaps w:val="0"/>
          <w:sz w:val="22"/>
          <w:szCs w:val="24"/>
        </w:rPr>
      </w:pPr>
      <w:r>
        <w:rPr>
          <w:rStyle w:val="13"/>
          <w:rFonts w:hint="eastAsia"/>
        </w:rPr>
        <w:fldChar w:fldCharType="begin"/>
      </w:r>
      <w:r>
        <w:rPr>
          <w:rStyle w:val="13"/>
          <w:rFonts w:hint="eastAsia"/>
        </w:rPr>
        <w:instrText xml:space="preserve"> </w:instrText>
      </w:r>
      <w:r>
        <w:rPr>
          <w:rFonts w:hint="eastAsia"/>
        </w:rPr>
        <w:instrText xml:space="preserve">HYPERLINK \l "_Toc202292342"</w:instrText>
      </w:r>
      <w:r>
        <w:rPr>
          <w:rStyle w:val="13"/>
          <w:rFonts w:hint="eastAsia"/>
        </w:rPr>
        <w:instrText xml:space="preserve"> </w:instrText>
      </w:r>
      <w:r>
        <w:rPr>
          <w:rStyle w:val="13"/>
          <w:rFonts w:hint="eastAsia"/>
        </w:rPr>
        <w:fldChar w:fldCharType="separate"/>
      </w:r>
      <w:r>
        <w:rPr>
          <w:rStyle w:val="13"/>
          <w:rFonts w:hint="eastAsia" w:ascii="Arial" w:hAnsi="Arial"/>
        </w:rPr>
        <w:t>2.5</w:t>
      </w:r>
      <w:r>
        <w:rPr>
          <w:rFonts w:hint="eastAsia" w:ascii="等线" w:hAnsi="等线" w:eastAsia="等线"/>
          <w:smallCaps w:val="0"/>
          <w:sz w:val="22"/>
          <w:szCs w:val="24"/>
        </w:rPr>
        <w:tab/>
      </w:r>
      <w:r>
        <w:rPr>
          <w:rStyle w:val="13"/>
          <w:rFonts w:hint="eastAsia"/>
        </w:rPr>
        <w:t>全院医技检查检验预约系统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_Toc202292342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6</w:t>
      </w:r>
      <w:r>
        <w:rPr>
          <w:rFonts w:hint="eastAsia"/>
        </w:rPr>
        <w:fldChar w:fldCharType="end"/>
      </w:r>
      <w:r>
        <w:rPr>
          <w:rStyle w:val="13"/>
          <w:rFonts w:hint="eastAsia"/>
        </w:rPr>
        <w:fldChar w:fldCharType="end"/>
      </w:r>
    </w:p>
    <w:p>
      <w:pPr>
        <w:widowControl/>
        <w:tabs>
          <w:tab w:val="right" w:leader="dot" w:pos="8302"/>
        </w:tabs>
        <w:wordWrap w:val="0"/>
        <w:ind w:firstLine="480"/>
        <w:jc w:val="left"/>
        <w:rPr>
          <w:rFonts w:ascii="微软雅黑" w:hAnsi="微软雅黑" w:eastAsia="微软雅黑"/>
          <w:sz w:val="21"/>
          <w:szCs w:val="21"/>
        </w:rPr>
      </w:pPr>
      <w:r>
        <w:rPr>
          <w:rFonts w:ascii="微软雅黑" w:hAnsi="微软雅黑" w:eastAsia="微软雅黑"/>
          <w:b/>
          <w:bCs/>
          <w:caps/>
          <w:sz w:val="21"/>
          <w:szCs w:val="21"/>
        </w:rPr>
        <w:fldChar w:fldCharType="end"/>
      </w:r>
    </w:p>
    <w:p>
      <w:pPr>
        <w:pStyle w:val="2"/>
      </w:pPr>
      <w:r>
        <w:br w:type="page"/>
      </w:r>
      <w:bookmarkStart w:id="0" w:name="_Toc202292317"/>
      <w:r>
        <w:rPr>
          <w:rFonts w:hint="eastAsia"/>
        </w:rPr>
        <w:t>项目背景</w:t>
      </w:r>
      <w:bookmarkEnd w:id="0"/>
    </w:p>
    <w:p>
      <w:pPr>
        <w:pStyle w:val="5"/>
        <w:ind w:firstLine="420" w:firstLineChars="200"/>
        <w:rPr>
          <w:rFonts w:hint="eastAsia"/>
        </w:rPr>
      </w:pPr>
      <w:bookmarkStart w:id="1" w:name="_Hlk202292316"/>
      <w:r>
        <w:t>中国医学科学院整形外科医院</w:t>
      </w:r>
      <w:bookmarkEnd w:id="1"/>
      <w:r>
        <w:rPr>
          <w:rFonts w:hint="eastAsia"/>
        </w:rPr>
        <w:t>作为</w:t>
      </w:r>
      <w:r>
        <w:t>集医疗、教学、科研于一体的整形外科三级甲等专科医院</w:t>
      </w:r>
      <w:r>
        <w:rPr>
          <w:rFonts w:hint="eastAsia"/>
        </w:rPr>
        <w:t>。在医疗影像系统信息化建设方面将</w:t>
      </w:r>
      <w:r>
        <w:t>采用“以评促建、以评促改、以评促用”的方针，</w:t>
      </w:r>
      <w:r>
        <w:rPr>
          <w:rFonts w:hint="eastAsia"/>
        </w:rPr>
        <w:t>将信息化作为医院基本建设的优先领域，本次项目是对医院现有影像系统进行升级，采用先进的医疗影像信息化架构、应用管理模式，以建设电子病历、智慧服务、智慧管理“三位一体”的智慧医院信息系统，完善智慧医院分级评估顶层设计，提高医疗服务的智慧化、个性化水平，推进医院信息化建设标准化、规范化水平，落实国家和行业信息化标准。</w:t>
      </w:r>
    </w:p>
    <w:p>
      <w:pPr>
        <w:pStyle w:val="2"/>
      </w:pPr>
      <w:bookmarkStart w:id="2" w:name="_Toc202292318"/>
      <w:r>
        <w:rPr>
          <w:rFonts w:hint="eastAsia"/>
        </w:rPr>
        <w:t>采购需求</w:t>
      </w:r>
      <w:bookmarkEnd w:id="2"/>
    </w:p>
    <w:p>
      <w:pPr>
        <w:pStyle w:val="5"/>
        <w:ind w:firstLine="420" w:firstLineChars="200"/>
        <w:rPr>
          <w:szCs w:val="21"/>
        </w:rPr>
      </w:pPr>
      <w:r>
        <w:rPr>
          <w:rFonts w:hint="eastAsia"/>
          <w:szCs w:val="21"/>
        </w:rPr>
        <w:t>通过项目的整体建设，实现医院影像科室的检查预约、检查登记、自助签到、排队叫号、上机检查、影像上传、报告诊断、病患随访等一系列检查业务流程进行完全数字化覆盖，实现科室内部的数智化管理。加强医疗质</w:t>
      </w:r>
      <w:bookmarkStart w:id="25" w:name="_GoBack"/>
      <w:bookmarkEnd w:id="25"/>
      <w:r>
        <w:rPr>
          <w:rFonts w:hint="eastAsia"/>
          <w:szCs w:val="21"/>
        </w:rPr>
        <w:t>量控制，进一步提升现代化医院管理水平，推动专科医院高质量发展。</w:t>
      </w:r>
    </w:p>
    <w:p>
      <w:pPr>
        <w:pStyle w:val="5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系统支持数据库级、文档级、消息级别医疗数据无缝传输能力，跨科室间的信息交互能力。</w:t>
      </w:r>
    </w:p>
    <w:p>
      <w:pPr>
        <w:pStyle w:val="5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安全防护能力：为保护患者个人信息不被泄露，科室信息管理系统符合信息安全相关要求；</w:t>
      </w:r>
    </w:p>
    <w:p>
      <w:pPr>
        <w:pStyle w:val="5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具备对各功能模块可用性进行监控，避免出现应用模块异常引起业务停滞。</w:t>
      </w:r>
    </w:p>
    <w:p>
      <w:pPr>
        <w:pStyle w:val="5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系统支持对存储在系统中的数据进行全生命周期的管理，可以按照设定好的周期对数据进行近线或离线处理，也可对数据进行迁移的操作。</w:t>
      </w:r>
    </w:p>
    <w:p>
      <w:pPr>
        <w:pStyle w:val="3"/>
      </w:pPr>
      <w:bookmarkStart w:id="3" w:name="_Toc202292319"/>
      <w:r>
        <w:rPr>
          <w:rFonts w:hint="eastAsia"/>
        </w:rPr>
        <w:t>医疗影像系统</w:t>
      </w:r>
      <w:bookmarkEnd w:id="3"/>
    </w:p>
    <w:p>
      <w:pPr>
        <w:pStyle w:val="4"/>
      </w:pPr>
      <w:bookmarkStart w:id="4" w:name="_Toc202292320"/>
      <w:r>
        <w:rPr>
          <w:rFonts w:hint="eastAsia"/>
        </w:rPr>
        <w:t>医学影像数据服务</w:t>
      </w:r>
      <w:bookmarkEnd w:id="4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兼容多种影像检查设备如 X 光、CT、MRI 等产生的数据，可自动适配不同数据格式并转换为系统可处理的标准格式，支持设备worklist传输、缓存，支持多种医学影像格式，并实现数据的快速导入与导出、电子胶片集中打印等功能，为医生提供丰富的影像资料支持。</w:t>
      </w:r>
    </w:p>
    <w:p>
      <w:pPr>
        <w:pStyle w:val="4"/>
      </w:pPr>
      <w:bookmarkStart w:id="5" w:name="_Toc202292321"/>
      <w:r>
        <w:rPr>
          <w:rFonts w:hint="eastAsia"/>
        </w:rPr>
        <w:t>DICOM支持</w:t>
      </w:r>
      <w:bookmarkEnd w:id="5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系统遵循DICOM标准，确保医学影像数据的互操作性和兼容性。</w:t>
      </w:r>
    </w:p>
    <w:p>
      <w:pPr>
        <w:pStyle w:val="4"/>
      </w:pPr>
      <w:bookmarkStart w:id="6" w:name="_Toc202292322"/>
      <w:r>
        <w:rPr>
          <w:rFonts w:hint="eastAsia"/>
        </w:rPr>
        <w:t>影像存储管理服务</w:t>
      </w:r>
      <w:bookmarkEnd w:id="6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提供可靠的影像数据存储与备份方案，确保数据的安全性和长期保存。支持高效的数据检索与管理功能，方便医生快速定位、调阅所需影像资料。</w:t>
      </w:r>
      <w:r>
        <w:rPr>
          <w:rFonts w:hint="eastAsia" w:ascii="微软雅黑" w:hAnsi="微软雅黑" w:eastAsia="微软雅黑"/>
          <w:szCs w:val="21"/>
        </w:rPr>
        <w:t>支持多种影像压缩技术，可根据医院情况制定压缩策略，如支持JPEGLossless、JPEGLSLossless、JPEG2000Lossless压缩。</w:t>
      </w:r>
    </w:p>
    <w:p>
      <w:pPr>
        <w:pStyle w:val="4"/>
      </w:pPr>
      <w:bookmarkStart w:id="7" w:name="_Toc202292323"/>
      <w:r>
        <w:rPr>
          <w:rFonts w:hint="eastAsia"/>
        </w:rPr>
        <w:t>影像调阅</w:t>
      </w:r>
      <w:bookmarkEnd w:id="7"/>
    </w:p>
    <w:p>
      <w:pPr>
        <w:pStyle w:val="6"/>
        <w:spacing w:line="240" w:lineRule="auto"/>
        <w:ind w:firstLine="420" w:firstLineChars="200"/>
        <w:rPr>
          <w:rFonts w:hint="eastAsia"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全方位满足了影像查看、分析及应用等多方面需求。支持在同屏展示当前患者本次与历史影像以及不同患者的检查影像，可按多种条件查询并以多种方式显示检索内容，还能以时间轴呈现患者历次检查信息。具备多种影像排列、布局及切换浏览方式，且提供快捷功能与右键菜单方便操作，同时可显示影像取回进度与通讯状态。能进行窗宽窗位调节、自定义影像显示内容以优化显示效果，配备多种测量工具可对影像做各类测量，支持标注、编辑及删除注释功能。还可实现影像播放的多种操作、进行多种影像处理，支持影像导出为多种格式，以及具备如以拖拽方式拷贝到文档、影像同步、显示四角文字等其他诸多实用功能，为医疗影像的高效利用和准确诊断提供了有力支撑。</w:t>
      </w:r>
    </w:p>
    <w:p>
      <w:pPr>
        <w:pStyle w:val="3"/>
      </w:pPr>
      <w:bookmarkStart w:id="8" w:name="_Toc202292324"/>
      <w:r>
        <w:rPr>
          <w:rFonts w:hint="eastAsia"/>
        </w:rPr>
        <w:t>放射管理系统</w:t>
      </w:r>
      <w:bookmarkEnd w:id="8"/>
    </w:p>
    <w:p>
      <w:pPr>
        <w:pStyle w:val="4"/>
      </w:pPr>
      <w:bookmarkStart w:id="9" w:name="_Toc202292325"/>
      <w:r>
        <w:rPr>
          <w:rFonts w:hint="eastAsia"/>
        </w:rPr>
        <w:t>登记工作站</w:t>
      </w:r>
      <w:bookmarkEnd w:id="9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规范患者信息的录入流程，支持快速、准确地登记操作。系统提供友好的用户界面和便捷的录入工具，使工作人员能够高效地完成患者信息的录入和管理工作。</w:t>
      </w:r>
    </w:p>
    <w:p>
      <w:pPr>
        <w:pStyle w:val="4"/>
      </w:pPr>
      <w:bookmarkStart w:id="10" w:name="_Toc202292326"/>
      <w:r>
        <w:rPr>
          <w:rFonts w:hint="eastAsia"/>
        </w:rPr>
        <w:t>技师工作站</w:t>
      </w:r>
      <w:bookmarkEnd w:id="10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支持按未检和已检病人分类展示任务列表，便于技师快速掌握工作进度。通过条码扫描和人工查询，技师能迅速定位并筛选病人信息。还具备排队叫号功能，可实时查看队列和记录检查状态。此外工作站还支持批量转移机房记录工作量等功能。</w:t>
      </w:r>
    </w:p>
    <w:p>
      <w:pPr>
        <w:pStyle w:val="4"/>
      </w:pPr>
      <w:bookmarkStart w:id="11" w:name="_Toc202292327"/>
      <w:r>
        <w:rPr>
          <w:rFonts w:hint="eastAsia"/>
        </w:rPr>
        <w:t>报告工作站</w:t>
      </w:r>
      <w:bookmarkEnd w:id="11"/>
    </w:p>
    <w:p>
      <w:pPr>
        <w:pStyle w:val="6"/>
        <w:spacing w:line="240" w:lineRule="auto"/>
        <w:ind w:firstLine="420" w:firstLineChars="200"/>
        <w:rPr>
          <w:rFonts w:hint="eastAsia"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报告任务管理方面，可查看已登记和已检查的待写报告列表信息，通过个性化任务筛选功能，依据报告状态、紧急程度、日期 / 时间、检查类型等多种条件自由组合建立任务过滤标签，还能按病人影像号、姓名等快速定位待书写报告患者信息。同时，报告任务自动刷新且支持任务优先级，能依据科室排班表自动分派检查任务给技师和报告医生，并可手动调整。对于患者信息展示，支持检查状态分类显示并可个性化设置颜色标记，对门诊、住院、体检、急诊等不同来源患者也以不同颜色标识，如急诊检查用红色显示。还能主动提示报告医生患者在本科室的检查次数及历史报告数，方便快速查看历史报告及影像。</w:t>
      </w:r>
    </w:p>
    <w:p>
      <w:pPr>
        <w:pStyle w:val="6"/>
        <w:spacing w:line="240" w:lineRule="auto"/>
        <w:ind w:firstLine="420" w:firstLineChars="200"/>
        <w:rPr>
          <w:rFonts w:hint="eastAsia"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在报告书写过程中，可随时调阅病人的电子及纸质检查申请单信息，以及当前病人的检查影像，书写区支持放大镜形式放大内容，能插入关键词并进行撤销、剪切、复制、粘贴、全选等操作，还可切换到工作列表打开其他报告。提供标准化诊断报告模板，包含医学特殊字符及常用计算公式，允许在一定范围内个性化设置模板，自定义报告板式并按需插入图像。同时，支持公有模板和私有模板，具备结构化报告模块及模板编辑功能，拥有智能校验、纠错能力，新建、修改、设置可选区等。</w:t>
      </w:r>
    </w:p>
    <w:p>
      <w:pPr>
        <w:pStyle w:val="6"/>
        <w:spacing w:line="240" w:lineRule="auto"/>
        <w:ind w:firstLine="420" w:firstLineChars="200"/>
        <w:rPr>
          <w:rFonts w:hint="eastAsia"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具备多级审核机制，审核医生可对报告进行常规评级，不合格可拒绝审核并留言说明原因，高年资医生若发现报告不合格可退回重写并备注原因。报告质量评级明确，且支持根据科别及报告样式确定报告打印样式，可阅读审核后的报告并对比审核前后内容，详细记录修改痕迹包括修改内容、人、时间、流程名称等并支持对比，还能按多种方式查找报告。支持报告留言功能便于低年资医生请教问题，具备随访功能记录随访状态及内容，支持暂存报告和添加新报告页。还支持影像质控功能，规范评片标准，不满足要求的片不发报告并采取相应处理措施。再者需支持报告急诊流程、危急值处理、报告超时提醒，从患者多级医疗状态分类并支持个性化自定义颜色标记，为整个诊断报告流程提供了全面、细致且专业的管理与操作支持。</w:t>
      </w:r>
    </w:p>
    <w:p>
      <w:pPr>
        <w:pStyle w:val="4"/>
      </w:pPr>
      <w:bookmarkStart w:id="12" w:name="_Toc202292328"/>
      <w:r>
        <w:rPr>
          <w:rFonts w:hint="eastAsia"/>
        </w:rPr>
        <w:t>主任工作站</w:t>
      </w:r>
      <w:bookmarkEnd w:id="12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提供了全面的管理功能，支持对科室内的检查项目、医生工作量、报告质量等进行统计和分析，并且支持统计结果的导出。</w:t>
      </w:r>
    </w:p>
    <w:p>
      <w:pPr>
        <w:pStyle w:val="4"/>
      </w:pPr>
      <w:bookmarkStart w:id="13" w:name="_Toc202292329"/>
      <w:r>
        <w:rPr>
          <w:rFonts w:hint="eastAsia"/>
        </w:rPr>
        <w:t>排队叫号</w:t>
      </w:r>
      <w:bookmarkEnd w:id="13"/>
    </w:p>
    <w:p>
      <w:pPr>
        <w:pStyle w:val="6"/>
        <w:spacing w:line="240" w:lineRule="auto"/>
        <w:ind w:firstLine="420" w:firstLineChars="200"/>
        <w:rPr>
          <w:rFonts w:hint="eastAsia"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通过自动化排队和叫号功能，优化患者检查流程，提高服务效率。患者可以在指定区域等待，系统根据预约信息和检查顺序自动进行叫号，减少患者等待时间和提升就医体验。</w:t>
      </w:r>
    </w:p>
    <w:p>
      <w:pPr>
        <w:pStyle w:val="3"/>
        <w:rPr>
          <w:rFonts w:hint="eastAsia"/>
        </w:rPr>
      </w:pPr>
      <w:bookmarkStart w:id="14" w:name="_Toc202292330"/>
      <w:r>
        <w:rPr>
          <w:rFonts w:hint="eastAsia"/>
        </w:rPr>
        <w:t>超声管理系统</w:t>
      </w:r>
      <w:bookmarkEnd w:id="14"/>
    </w:p>
    <w:p>
      <w:pPr>
        <w:pStyle w:val="4"/>
      </w:pPr>
      <w:bookmarkStart w:id="15" w:name="_Toc202292331"/>
      <w:r>
        <w:rPr>
          <w:rFonts w:hint="eastAsia"/>
        </w:rPr>
        <w:t>登记工作站</w:t>
      </w:r>
      <w:bookmarkEnd w:id="15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支持患者基本信息的录入，包括姓名、性别、年龄等关键信息。同时，该模块还允许医生或操作人员选择相应的检查项目，确保每项检查都有明确的记录。</w:t>
      </w:r>
    </w:p>
    <w:p>
      <w:pPr>
        <w:pStyle w:val="4"/>
      </w:pPr>
      <w:bookmarkStart w:id="16" w:name="_Toc202292332"/>
      <w:r>
        <w:rPr>
          <w:rFonts w:hint="eastAsia"/>
        </w:rPr>
        <w:t>图像采集及报告工作站</w:t>
      </w:r>
      <w:bookmarkEnd w:id="16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展示待处理的患者列表，包括患者姓名、检查项目、预约时间等信息。医生或技师可根据需要对工作列表进行排序和筛选，以便快速定位到需要处理的患者。同时，该模块还支持实时更新患者状态，确保医生或技师能够及时了解患者的最新情况。</w:t>
      </w:r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提供图像采集、浏览、处理工具，帮助医生对图像进行准确解读，支持报告模板的自定义和快速填充，医生可快速生成标准化、高质量的检查报告，支持报告的审核和修改功能等功能。</w:t>
      </w:r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可进行随访、阳性、ACR以及自定义的方式进行报告归档。</w:t>
      </w:r>
    </w:p>
    <w:p>
      <w:pPr>
        <w:pStyle w:val="4"/>
      </w:pPr>
      <w:bookmarkStart w:id="17" w:name="_Toc202292334"/>
      <w:r>
        <w:rPr>
          <w:rFonts w:hint="eastAsia"/>
        </w:rPr>
        <w:t>主任管理工作站</w:t>
      </w:r>
      <w:bookmarkEnd w:id="17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提供了全面的管理功能，支持对科室内的检查项目、医生工作量、报告质量等进行统计和分析，并且支持统计结果的导出。</w:t>
      </w:r>
    </w:p>
    <w:p>
      <w:pPr>
        <w:pStyle w:val="4"/>
      </w:pPr>
      <w:bookmarkStart w:id="18" w:name="_Toc202292335"/>
      <w:r>
        <w:rPr>
          <w:rFonts w:hint="eastAsia"/>
        </w:rPr>
        <w:t>排队叫号</w:t>
      </w:r>
      <w:bookmarkEnd w:id="18"/>
    </w:p>
    <w:p>
      <w:pPr>
        <w:pStyle w:val="6"/>
        <w:spacing w:line="240" w:lineRule="auto"/>
        <w:ind w:firstLine="420" w:firstLineChars="200"/>
        <w:rPr>
          <w:rFonts w:hint="eastAsia"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排队叫号模块实现了患者自动排队和叫号功能。患者到达检查室后，系统会自动将其加入排队队列，并根据预约信息和检查项目的优先级进行排序。当医生或技师准备好接待患者时，系统会通过显示屏和语音提示功能通知患者前来就诊，优化了就诊流程，减少了患者的等待时间。</w:t>
      </w:r>
    </w:p>
    <w:p>
      <w:pPr>
        <w:pStyle w:val="3"/>
      </w:pPr>
      <w:bookmarkStart w:id="19" w:name="_Toc202292336"/>
      <w:r>
        <w:rPr>
          <w:rFonts w:hint="eastAsia"/>
        </w:rPr>
        <w:t>内镜管理系统</w:t>
      </w:r>
      <w:bookmarkEnd w:id="19"/>
    </w:p>
    <w:p>
      <w:pPr>
        <w:pStyle w:val="4"/>
      </w:pPr>
      <w:bookmarkStart w:id="20" w:name="_Toc202292337"/>
      <w:r>
        <w:rPr>
          <w:rFonts w:hint="eastAsia"/>
        </w:rPr>
        <w:t>登记工作站</w:t>
      </w:r>
      <w:bookmarkEnd w:id="20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支持患者基本信息的录入，包括姓名、性别、年龄等关键信息。同时，该模块还允许医生或操作人员选择相应的检查项目，确保每项检查都有明确的记录。</w:t>
      </w:r>
    </w:p>
    <w:p>
      <w:pPr>
        <w:pStyle w:val="4"/>
      </w:pPr>
      <w:bookmarkStart w:id="21" w:name="_Toc202292338"/>
      <w:r>
        <w:rPr>
          <w:rFonts w:hint="eastAsia"/>
        </w:rPr>
        <w:t>图像采集及报告工作站</w:t>
      </w:r>
      <w:bookmarkEnd w:id="21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展示待处理的患者列表，包括患者姓名、检查项目、预约时间等信息。医生或技师可根据需要对工作列表进行排序和筛选，以便快速定位到需要处理的患者。同时，该模块还支持实时更新患者状态，确保医生或技师能够及时了解患者的最新情况。</w:t>
      </w:r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提供图像采集、浏览、处理工具，帮助医生对图像进行准确解读，支持报告模板的自定义和快速填充，医生可快速生成标准化、高质量的检查报告，支持报告的审核和修改功能等功能。</w:t>
      </w:r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可进行随访、阳性、ACR以及自定义的方式进行报告归档。</w:t>
      </w:r>
    </w:p>
    <w:p>
      <w:pPr>
        <w:pStyle w:val="4"/>
      </w:pPr>
      <w:bookmarkStart w:id="22" w:name="_Toc202292340"/>
      <w:r>
        <w:rPr>
          <w:rFonts w:hint="eastAsia"/>
        </w:rPr>
        <w:t>主任管理工作站</w:t>
      </w:r>
      <w:bookmarkEnd w:id="22"/>
    </w:p>
    <w:p>
      <w:pPr>
        <w:pStyle w:val="6"/>
        <w:spacing w:line="240" w:lineRule="auto"/>
        <w:ind w:firstLine="420" w:firstLineChars="200"/>
        <w:rPr>
          <w:rFonts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提供了全面的管理功能，支持对科室内的检查项目、医生工作量、报告质量等进行统计和分析，并且支持统计结果的导出。</w:t>
      </w:r>
    </w:p>
    <w:p>
      <w:pPr>
        <w:pStyle w:val="4"/>
      </w:pPr>
      <w:bookmarkStart w:id="23" w:name="_Toc202292341"/>
      <w:r>
        <w:rPr>
          <w:rFonts w:hint="eastAsia"/>
        </w:rPr>
        <w:t>排队叫号</w:t>
      </w:r>
      <w:bookmarkEnd w:id="23"/>
    </w:p>
    <w:p>
      <w:pPr>
        <w:pStyle w:val="6"/>
        <w:spacing w:line="240" w:lineRule="auto"/>
        <w:ind w:firstLine="420" w:firstLineChars="200"/>
        <w:rPr>
          <w:rFonts w:hint="eastAsia" w:ascii="微软雅黑" w:hAnsi="微软雅黑" w:eastAsia="微软雅黑" w:cs="宋体"/>
          <w:szCs w:val="21"/>
        </w:rPr>
      </w:pPr>
      <w:r>
        <w:rPr>
          <w:rFonts w:hint="eastAsia" w:ascii="微软雅黑" w:hAnsi="微软雅黑" w:eastAsia="微软雅黑" w:cs="宋体"/>
          <w:szCs w:val="21"/>
        </w:rPr>
        <w:t>排队叫号模块实现了患者的自动排队和叫号功能。患者到达检查室后，系统自动将其加入排队队列，并根据检查项目的优先级和预约时间进行排序。当医生或技师准备好接待患者时，系统通过显示屏和语音提示通知患者前来就诊，优化了就诊流程，减少了患者的等待时间。</w:t>
      </w:r>
    </w:p>
    <w:p>
      <w:pPr>
        <w:pStyle w:val="3"/>
        <w:rPr>
          <w:rFonts w:hint="eastAsia"/>
        </w:rPr>
      </w:pPr>
      <w:bookmarkStart w:id="24" w:name="_Toc202292342"/>
      <w:r>
        <w:rPr>
          <w:rFonts w:hint="eastAsia"/>
        </w:rPr>
        <w:t>全院医技检查检验预约系统</w:t>
      </w:r>
      <w:bookmarkEnd w:id="24"/>
    </w:p>
    <w:p>
      <w:pPr>
        <w:ind w:firstLine="420" w:firstLineChars="200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为了响应国家相关医疗政策，提升医院检查设备资源利用率及工作效率，提高患者在院就诊感受，需要通过建设检查预约系统，实现预约流程的电子化管理，对患者就诊流程进行合理安排，实现患者就诊检查“多点预约、资源统管、合理分配”的服务功能，进而缩短患者在院期间的等待时间，加快住院床位周转率，提高医疗服务质量。</w:t>
      </w:r>
    </w:p>
    <w:p>
      <w:pPr>
        <w:numPr>
          <w:ilvl w:val="0"/>
          <w:numId w:val="2"/>
        </w:numPr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 xml:space="preserve">各类医技科室检查项目使用统一的资源池。 </w:t>
      </w:r>
    </w:p>
    <w:p>
      <w:pPr>
        <w:numPr>
          <w:ilvl w:val="0"/>
          <w:numId w:val="2"/>
        </w:numPr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统一医院资源供临床医生、患者、医技科室等多角色使用，支持多个渠道预约，门诊医生预约、住院医生预约、住院护士预约、自助机预约、医技窗口预约、预约中心预约等。</w:t>
      </w:r>
    </w:p>
    <w:p>
      <w:pPr>
        <w:numPr>
          <w:ilvl w:val="0"/>
          <w:numId w:val="2"/>
        </w:numPr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预约系统可根据检查申请单关键字，自动屏蔽其他渠道预约功能，特殊检查只允许到医技科室检查；</w:t>
      </w:r>
    </w:p>
    <w:p>
      <w:pPr>
        <w:numPr>
          <w:ilvl w:val="0"/>
          <w:numId w:val="2"/>
        </w:numPr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支持资源自定义计算规则，按需为特定患者预留专用检查资源；</w:t>
      </w:r>
    </w:p>
    <w:p>
      <w:pPr>
        <w:numPr>
          <w:ilvl w:val="0"/>
          <w:numId w:val="2"/>
        </w:numPr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预约系统可对预约结果进行改约、取消，在系统中可记录改约或取消预约原因；</w:t>
      </w:r>
    </w:p>
    <w:p>
      <w:pPr>
        <w:numPr>
          <w:ilvl w:val="0"/>
          <w:numId w:val="2"/>
        </w:numPr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支持对多个患者的不同检查项目进行批量预约，并支持提供单个预约的手工调整和确认功能；</w:t>
      </w:r>
    </w:p>
    <w:p>
      <w:pPr>
        <w:numPr>
          <w:ilvl w:val="0"/>
          <w:numId w:val="2"/>
        </w:numPr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系统在为患者检查预约时间时，支持预约到具体的时间点，也支持预约到时间段；预约完成后可通过短信或者微信消息的形式将预约结果推送给患者，推送信息包含预约时间，检查地点，注意事项，推送信息也可自定义。</w:t>
      </w:r>
    </w:p>
    <w:p/>
    <w:sectPr>
      <w:footerReference r:id="rId3" w:type="default"/>
      <w:pgSz w:w="11906" w:h="16838"/>
      <w:pgMar w:top="1440" w:right="1559" w:bottom="1440" w:left="1797" w:header="851" w:footer="992" w:gutter="0"/>
      <w:cols w:space="425" w:num="1"/>
      <w:titlePg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 w:ascii="微软雅黑" w:hAnsi="微软雅黑" w:eastAsia="微软雅黑"/>
      </w:rPr>
    </w:pPr>
    <w:r>
      <w:rPr>
        <w:rFonts w:hint="eastAsia" w:ascii="微软雅黑" w:hAnsi="微软雅黑" w:eastAsia="微软雅黑"/>
        <w:sz w:val="21"/>
        <w:szCs w:val="21"/>
      </w:rPr>
      <w:t>第</w: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PAGE  \* Arabic  \* MERGEFORMAT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Fonts w:ascii="微软雅黑" w:hAnsi="微软雅黑" w:eastAsia="微软雅黑"/>
        <w:sz w:val="21"/>
        <w:szCs w:val="21"/>
      </w:rPr>
      <w:t>89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>页，共</w: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NUMPAGES  \* Arabic  \* MERGEFORMAT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Fonts w:ascii="微软雅黑" w:hAnsi="微软雅黑" w:eastAsia="微软雅黑"/>
        <w:sz w:val="21"/>
        <w:szCs w:val="21"/>
      </w:rPr>
      <w:t>89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1A3DCF"/>
    <w:multiLevelType w:val="multilevel"/>
    <w:tmpl w:val="3D1A3DCF"/>
    <w:lvl w:ilvl="0" w:tentative="0">
      <w:start w:val="1"/>
      <w:numFmt w:val="decimal"/>
      <w:lvlText w:val="（%1）"/>
      <w:lvlJc w:val="center"/>
      <w:pPr>
        <w:ind w:left="86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1">
    <w:nsid w:val="7A590867"/>
    <w:multiLevelType w:val="multilevel"/>
    <w:tmpl w:val="7A590867"/>
    <w:lvl w:ilvl="0" w:tentative="0">
      <w:start w:val="1"/>
      <w:numFmt w:val="chineseCountingThousand"/>
      <w:pStyle w:val="2"/>
      <w:lvlText w:val="%1、"/>
      <w:lvlJc w:val="left"/>
      <w:pPr>
        <w:ind w:left="432" w:hanging="432"/>
      </w:pPr>
      <w:rPr>
        <w:rFonts w:hint="default" w:ascii="微软雅黑" w:hAnsi="微软雅黑" w:eastAsia="微软雅黑" w:cs="Arial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8"/>
        <w:szCs w:val="28"/>
        <w:u w:val="none"/>
        <w:vertAlign w:val="baseline"/>
      </w:rPr>
    </w:lvl>
    <w:lvl w:ilvl="1" w:tentative="0">
      <w:start w:val="1"/>
      <w:numFmt w:val="decimal"/>
      <w:pStyle w:val="3"/>
      <w:isLgl/>
      <w:lvlText w:val="%1.%2"/>
      <w:lvlJc w:val="left"/>
      <w:pPr>
        <w:ind w:left="576" w:hanging="576"/>
      </w:pPr>
      <w:rPr>
        <w:rFonts w:hint="default" w:ascii="Arial" w:hAnsi="Arial" w:eastAsia="微软雅黑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8"/>
        <w:szCs w:val="21"/>
        <w:u w:val="none"/>
        <w:vertAlign w:val="baseline"/>
      </w:rPr>
    </w:lvl>
    <w:lvl w:ilvl="2" w:tentative="0">
      <w:start w:val="1"/>
      <w:numFmt w:val="decimal"/>
      <w:pStyle w:val="4"/>
      <w:isLgl/>
      <w:lvlText w:val="%1.%2.%3"/>
      <w:lvlJc w:val="left"/>
      <w:pPr>
        <w:ind w:left="748" w:hanging="748"/>
      </w:pPr>
      <w:rPr>
        <w:rFonts w:hint="default" w:ascii="Arial" w:hAnsi="Arial" w:eastAsia="微软雅黑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isLgl/>
      <w:lvlText w:val="%1.%2.%3.%4"/>
      <w:lvlJc w:val="left"/>
      <w:pPr>
        <w:ind w:left="864" w:hanging="864"/>
      </w:pPr>
      <w:rPr>
        <w:rFonts w:hint="default" w:ascii="Arial" w:hAnsi="Arial" w:cs="Arial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szCs w:val="24"/>
        <w:u w:val="none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ind w:left="1008" w:hanging="1008"/>
      </w:pPr>
      <w:rPr>
        <w:rFonts w:hint="default" w:ascii="Arial" w:hAnsi="Arial" w:cs="Arial"/>
      </w:rPr>
    </w:lvl>
    <w:lvl w:ilvl="5" w:tentative="0">
      <w:start w:val="1"/>
      <w:numFmt w:val="decimal"/>
      <w:isLgl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22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wordWrap w:val="0"/>
      <w:snapToGrid w:val="0"/>
      <w:spacing w:before="60" w:after="60"/>
      <w:jc w:val="left"/>
      <w:outlineLvl w:val="0"/>
    </w:pPr>
    <w:rPr>
      <w:rFonts w:ascii="微软雅黑" w:hAnsi="微软雅黑" w:eastAsia="微软雅黑"/>
      <w:b/>
      <w:szCs w:val="28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adjustRightInd w:val="0"/>
      <w:snapToGrid w:val="0"/>
      <w:spacing w:before="60" w:after="60"/>
      <w:jc w:val="left"/>
      <w:outlineLvl w:val="1"/>
    </w:pPr>
    <w:rPr>
      <w:rFonts w:ascii="微软雅黑" w:hAnsi="微软雅黑" w:eastAsia="微软雅黑"/>
      <w:b/>
      <w:szCs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napToGrid w:val="0"/>
      <w:spacing w:before="60" w:after="60"/>
      <w:jc w:val="left"/>
      <w:outlineLvl w:val="2"/>
    </w:pPr>
    <w:rPr>
      <w:rFonts w:ascii="微软雅黑" w:hAnsi="微软雅黑" w:eastAsia="微软雅黑"/>
      <w:b/>
      <w:bCs/>
      <w:sz w:val="24"/>
      <w:szCs w:val="24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6"/>
    <w:qFormat/>
    <w:uiPriority w:val="0"/>
    <w:pPr>
      <w:spacing w:line="240" w:lineRule="auto"/>
    </w:pPr>
    <w:rPr>
      <w:rFonts w:ascii="微软雅黑" w:hAnsi="微软雅黑" w:eastAsia="微软雅黑"/>
    </w:rPr>
  </w:style>
  <w:style w:type="paragraph" w:customStyle="1" w:styleId="6">
    <w:name w:val="正文部分"/>
    <w:basedOn w:val="1"/>
    <w:qFormat/>
    <w:uiPriority w:val="0"/>
    <w:pPr>
      <w:spacing w:line="360" w:lineRule="auto"/>
    </w:pPr>
    <w:rPr>
      <w:rFonts w:ascii="宋体" w:hAnsi="宋体"/>
      <w:sz w:val="21"/>
      <w:szCs w:val="24"/>
    </w:rPr>
  </w:style>
  <w:style w:type="paragraph" w:styleId="7">
    <w:name w:val="toc 3"/>
    <w:basedOn w:val="1"/>
    <w:next w:val="1"/>
    <w:unhideWhenUsed/>
    <w:qFormat/>
    <w:uiPriority w:val="39"/>
    <w:pPr>
      <w:tabs>
        <w:tab w:val="left" w:pos="1400"/>
        <w:tab w:val="right" w:leader="dot" w:pos="8540"/>
      </w:tabs>
      <w:ind w:left="560"/>
      <w:jc w:val="left"/>
    </w:pPr>
    <w:rPr>
      <w:rFonts w:ascii="Calibri" w:hAnsi="Calibri" w:eastAsia="微软雅黑"/>
      <w:iCs/>
      <w:sz w:val="20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 w:eastAsia="微软雅黑"/>
      <w:b/>
      <w:bCs/>
      <w:caps/>
      <w:sz w:val="20"/>
    </w:rPr>
  </w:style>
  <w:style w:type="paragraph" w:styleId="10">
    <w:name w:val="toc 2"/>
    <w:basedOn w:val="1"/>
    <w:next w:val="1"/>
    <w:qFormat/>
    <w:uiPriority w:val="39"/>
    <w:pPr>
      <w:ind w:left="280"/>
      <w:jc w:val="left"/>
    </w:pPr>
    <w:rPr>
      <w:rFonts w:ascii="Calibri" w:hAnsi="Calibri" w:eastAsia="微软雅黑"/>
      <w:smallCaps/>
      <w:sz w:val="20"/>
    </w:rPr>
  </w:style>
  <w:style w:type="character" w:styleId="13">
    <w:name w:val="Hyperlink"/>
    <w:uiPriority w:val="99"/>
    <w:rPr>
      <w:color w:val="0000FF"/>
      <w:u w:val="singl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2025-07-02T00:46:35Z</dcterms:created>
  <dc:creator>ThinkPad</dc:creator>
  <cp:lastModifiedBy>ThinkPad</cp:lastModifiedBy>
  <dcterms:modified xsi:type="dcterms:W3CDTF">2025-07-02T00:47:22Z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0C5870F7B4954B76953D2A4450FE08EE</vt:lpwstr>
  </property>
</Properties>
</file>