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b/>
          <w:bCs/>
          <w:color w:val="000000" w:themeColor="text1"/>
          <w:sz w:val="36"/>
          <w:szCs w:val="44"/>
          <w14:textFill>
            <w14:solidFill>
              <w14:schemeClr w14:val="tx1"/>
            </w14:solidFill>
          </w14:textFill>
        </w:rPr>
      </w:pPr>
      <w:r>
        <w:rPr>
          <w:rFonts w:hint="eastAsia" w:ascii="黑体" w:hAnsi="黑体" w:eastAsia="黑体"/>
          <w:b/>
          <w:bCs/>
          <w:color w:val="000000" w:themeColor="text1"/>
          <w:sz w:val="36"/>
          <w:szCs w:val="44"/>
          <w14:textFill>
            <w14:solidFill>
              <w14:schemeClr w14:val="tx1"/>
            </w14:solidFill>
          </w14:textFill>
        </w:rPr>
        <w:t>项目需求及技术要求</w:t>
      </w:r>
    </w:p>
    <w:p>
      <w:pPr>
        <w:spacing w:line="360" w:lineRule="auto"/>
        <w:ind w:firstLine="480" w:firstLineChars="200"/>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依据《国务院办公厅关于进一步深化基本医疗保险支付方式改革的指导意见》（国办发【2017】55号），为落实《中共中央国务院关于深化医疗保障制度改革的意见》（中发【2020】5号），持续推进医保支付方式改革，提高医疗服务透明度，提升医保基金使用效率，积极推进我院医疗机构的医保服务管理，从而实现我院医疗行为数据的全流程分析和监控，提高医疗机构监管水平。</w:t>
      </w:r>
    </w:p>
    <w:p>
      <w:pPr>
        <w:pStyle w:val="4"/>
        <w:numPr>
          <w:ilvl w:val="0"/>
          <w:numId w:val="1"/>
        </w:numPr>
        <w:adjustRightInd w:val="0"/>
        <w:spacing w:line="360" w:lineRule="auto"/>
        <w:ind w:left="0" w:firstLine="0"/>
        <w:jc w:val="left"/>
        <w:textAlignment w:val="baseline"/>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建设范围</w:t>
      </w:r>
    </w:p>
    <w:p>
      <w:pPr>
        <w:pStyle w:val="7"/>
        <w:numPr>
          <w:ilvl w:val="0"/>
          <w:numId w:val="2"/>
        </w:numPr>
        <w:spacing w:before="240" w:beforeLines="100" w:after="240" w:afterLines="100" w:line="360" w:lineRule="auto"/>
        <w:ind w:left="442" w:hanging="442" w:firstLineChars="0"/>
        <w:rPr>
          <w:rFonts w:hint="eastAsia" w:ascii="黑体" w:hAnsi="黑体" w:eastAsia="黑体"/>
          <w:b/>
          <w:bCs/>
          <w:sz w:val="24"/>
        </w:rPr>
      </w:pPr>
      <w:r>
        <w:rPr>
          <w:rFonts w:hint="eastAsia" w:ascii="黑体" w:hAnsi="黑体" w:eastAsia="黑体" w:cs="黑体"/>
          <w:b/>
          <w:bCs/>
          <w:color w:val="000000" w:themeColor="text1"/>
          <w:sz w:val="24"/>
          <w14:textFill>
            <w14:solidFill>
              <w14:schemeClr w14:val="tx1"/>
            </w14:solidFill>
          </w14:textFill>
        </w:rPr>
        <w:t>建设列表:</w:t>
      </w:r>
    </w:p>
    <w:tbl>
      <w:tblPr>
        <w:tblStyle w:val="5"/>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2082"/>
        <w:gridCol w:w="396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748" w:type="dxa"/>
            <w:tcBorders>
              <w:bottom w:val="single" w:color="auto" w:sz="4" w:space="0"/>
            </w:tcBorders>
            <w:shd w:val="clear" w:color="auto" w:fill="A5A5A5" w:themeFill="background1" w:themeFillShade="A6"/>
            <w:vAlign w:val="center"/>
          </w:tcPr>
          <w:p>
            <w:pPr>
              <w:widowControl/>
              <w:jc w:val="center"/>
              <w:rPr>
                <w:rFonts w:hint="eastAsia" w:ascii="黑体" w:hAnsi="黑体" w:eastAsia="黑体" w:cs="黑体"/>
                <w:b/>
                <w:bCs/>
                <w:color w:val="000000" w:themeColor="text1"/>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序号</w:t>
            </w:r>
          </w:p>
        </w:tc>
        <w:tc>
          <w:tcPr>
            <w:tcW w:w="2082" w:type="dxa"/>
            <w:tcBorders>
              <w:bottom w:val="single" w:color="auto" w:sz="4" w:space="0"/>
            </w:tcBorders>
            <w:shd w:val="clear" w:color="auto" w:fill="A5A5A5" w:themeFill="background1" w:themeFillShade="A6"/>
            <w:vAlign w:val="center"/>
          </w:tcPr>
          <w:p>
            <w:pPr>
              <w:widowControl/>
              <w:jc w:val="center"/>
              <w:rPr>
                <w:rFonts w:hint="eastAsia" w:ascii="黑体" w:hAnsi="黑体" w:eastAsia="黑体" w:cs="黑体"/>
                <w:b/>
                <w:bCs/>
                <w:color w:val="000000" w:themeColor="text1"/>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系统名称</w:t>
            </w:r>
          </w:p>
        </w:tc>
        <w:tc>
          <w:tcPr>
            <w:tcW w:w="3969" w:type="dxa"/>
            <w:tcBorders>
              <w:bottom w:val="single" w:color="auto" w:sz="4" w:space="0"/>
            </w:tcBorders>
            <w:shd w:val="clear" w:color="auto" w:fill="A5A5A5" w:themeFill="background1" w:themeFillShade="A6"/>
            <w:vAlign w:val="center"/>
          </w:tcPr>
          <w:p>
            <w:pPr>
              <w:widowControl/>
              <w:jc w:val="center"/>
              <w:rPr>
                <w:rFonts w:hint="eastAsia" w:ascii="黑体" w:hAnsi="黑体" w:eastAsia="黑体" w:cs="黑体"/>
                <w:b/>
                <w:bCs/>
                <w:color w:val="000000" w:themeColor="text1"/>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系统模块</w:t>
            </w:r>
          </w:p>
        </w:tc>
        <w:tc>
          <w:tcPr>
            <w:tcW w:w="1701" w:type="dxa"/>
            <w:tcBorders>
              <w:bottom w:val="single" w:color="auto" w:sz="4" w:space="0"/>
            </w:tcBorders>
            <w:shd w:val="clear" w:color="auto" w:fill="A5A5A5" w:themeFill="background1" w:themeFillShade="A6"/>
            <w:vAlign w:val="center"/>
          </w:tcPr>
          <w:p>
            <w:pPr>
              <w:widowControl/>
              <w:jc w:val="center"/>
              <w:rPr>
                <w:rFonts w:hint="eastAsia" w:ascii="黑体" w:hAnsi="黑体" w:eastAsia="黑体" w:cs="黑体"/>
                <w:b/>
                <w:bCs/>
                <w:color w:val="000000" w:themeColor="text1"/>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748" w:type="dxa"/>
            <w:vMerge w:val="restart"/>
            <w:vAlign w:val="center"/>
          </w:tcPr>
          <w:p>
            <w:pPr>
              <w:widowControl/>
              <w:jc w:val="center"/>
              <w:rPr>
                <w:rFonts w:hint="eastAsia" w:ascii="黑体" w:hAnsi="黑体" w:eastAsia="黑体" w:cs="黑体"/>
              </w:rPr>
            </w:pPr>
            <w:r>
              <w:rPr>
                <w:rFonts w:hint="eastAsia" w:ascii="黑体" w:hAnsi="黑体" w:eastAsia="黑体" w:cs="黑体"/>
              </w:rPr>
              <w:t>1</w:t>
            </w:r>
          </w:p>
        </w:tc>
        <w:tc>
          <w:tcPr>
            <w:tcW w:w="2082" w:type="dxa"/>
            <w:vMerge w:val="restart"/>
            <w:vAlign w:val="center"/>
          </w:tcPr>
          <w:p>
            <w:pPr>
              <w:widowControl/>
              <w:adjustRightInd w:val="0"/>
              <w:snapToGrid w:val="0"/>
              <w:jc w:val="center"/>
              <w:rPr>
                <w:rFonts w:hint="eastAsia" w:ascii="黑体" w:hAnsi="黑体" w:eastAsia="黑体" w:cs="黑体"/>
              </w:rPr>
            </w:pPr>
            <w:r>
              <w:rPr>
                <w:rFonts w:hint="eastAsia" w:ascii="黑体" w:hAnsi="黑体" w:eastAsia="黑体" w:cs="黑体"/>
              </w:rPr>
              <w:t>医保精细化管理系统</w:t>
            </w:r>
          </w:p>
        </w:tc>
        <w:tc>
          <w:tcPr>
            <w:tcW w:w="3969" w:type="dxa"/>
            <w:shd w:val="clear" w:color="auto" w:fill="auto"/>
            <w:noWrap/>
            <w:vAlign w:val="center"/>
          </w:tcPr>
          <w:p>
            <w:pPr>
              <w:widowControl/>
              <w:adjustRightInd w:val="0"/>
              <w:snapToGrid w:val="0"/>
              <w:jc w:val="left"/>
              <w:rPr>
                <w:rFonts w:hint="eastAsia" w:ascii="黑体" w:hAnsi="黑体" w:eastAsia="黑体" w:cs="黑体"/>
              </w:rPr>
            </w:pPr>
            <w:r>
              <w:rPr>
                <w:rFonts w:hint="eastAsia" w:ascii="黑体" w:hAnsi="黑体" w:eastAsia="黑体" w:cs="黑体"/>
              </w:rPr>
              <w:t>医保数据统计模块</w:t>
            </w:r>
          </w:p>
        </w:tc>
        <w:tc>
          <w:tcPr>
            <w:tcW w:w="1701" w:type="dxa"/>
            <w:vMerge w:val="restart"/>
            <w:vAlign w:val="center"/>
          </w:tcPr>
          <w:p>
            <w:pPr>
              <w:widowControl/>
              <w:jc w:val="center"/>
              <w:rPr>
                <w:rFonts w:hint="eastAsia"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748" w:type="dxa"/>
            <w:vMerge w:val="continue"/>
            <w:vAlign w:val="center"/>
          </w:tcPr>
          <w:p>
            <w:pPr>
              <w:widowControl/>
              <w:jc w:val="center"/>
              <w:rPr>
                <w:rFonts w:hint="eastAsia" w:ascii="黑体" w:hAnsi="黑体" w:eastAsia="黑体" w:cs="黑体"/>
              </w:rPr>
            </w:pPr>
          </w:p>
        </w:tc>
        <w:tc>
          <w:tcPr>
            <w:tcW w:w="2082" w:type="dxa"/>
            <w:vMerge w:val="continue"/>
            <w:vAlign w:val="center"/>
          </w:tcPr>
          <w:p>
            <w:pPr>
              <w:widowControl/>
              <w:adjustRightInd w:val="0"/>
              <w:snapToGrid w:val="0"/>
              <w:jc w:val="center"/>
              <w:rPr>
                <w:rFonts w:hint="eastAsia" w:ascii="黑体" w:hAnsi="黑体" w:eastAsia="黑体" w:cs="黑体"/>
              </w:rPr>
            </w:pPr>
          </w:p>
        </w:tc>
        <w:tc>
          <w:tcPr>
            <w:tcW w:w="3969" w:type="dxa"/>
            <w:shd w:val="clear" w:color="auto" w:fill="auto"/>
            <w:noWrap/>
            <w:vAlign w:val="center"/>
          </w:tcPr>
          <w:p>
            <w:pPr>
              <w:widowControl/>
              <w:adjustRightInd w:val="0"/>
              <w:snapToGrid w:val="0"/>
              <w:jc w:val="left"/>
              <w:rPr>
                <w:rFonts w:hint="eastAsia" w:ascii="黑体" w:hAnsi="黑体" w:eastAsia="黑体" w:cs="黑体"/>
              </w:rPr>
            </w:pPr>
            <w:r>
              <w:rPr>
                <w:rFonts w:hint="eastAsia" w:ascii="黑体" w:hAnsi="黑体" w:eastAsia="黑体" w:cs="黑体"/>
              </w:rPr>
              <w:t>医保指标管理模块</w:t>
            </w:r>
          </w:p>
        </w:tc>
        <w:tc>
          <w:tcPr>
            <w:tcW w:w="1701" w:type="dxa"/>
            <w:vMerge w:val="continue"/>
            <w:vAlign w:val="center"/>
          </w:tcPr>
          <w:p>
            <w:pPr>
              <w:widowControl/>
              <w:jc w:val="center"/>
              <w:rPr>
                <w:rFonts w:hint="eastAsia"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748" w:type="dxa"/>
            <w:vMerge w:val="continue"/>
            <w:vAlign w:val="center"/>
          </w:tcPr>
          <w:p>
            <w:pPr>
              <w:widowControl/>
              <w:jc w:val="center"/>
              <w:rPr>
                <w:rFonts w:hint="eastAsia" w:ascii="黑体" w:hAnsi="黑体" w:eastAsia="黑体" w:cs="黑体"/>
              </w:rPr>
            </w:pPr>
          </w:p>
        </w:tc>
        <w:tc>
          <w:tcPr>
            <w:tcW w:w="2082" w:type="dxa"/>
            <w:vMerge w:val="continue"/>
            <w:vAlign w:val="center"/>
          </w:tcPr>
          <w:p>
            <w:pPr>
              <w:widowControl/>
              <w:adjustRightInd w:val="0"/>
              <w:snapToGrid w:val="0"/>
              <w:jc w:val="center"/>
              <w:rPr>
                <w:rFonts w:hint="eastAsia" w:ascii="黑体" w:hAnsi="黑体" w:eastAsia="黑体" w:cs="黑体"/>
              </w:rPr>
            </w:pPr>
          </w:p>
        </w:tc>
        <w:tc>
          <w:tcPr>
            <w:tcW w:w="3969" w:type="dxa"/>
            <w:shd w:val="clear" w:color="auto" w:fill="auto"/>
            <w:noWrap/>
            <w:vAlign w:val="center"/>
          </w:tcPr>
          <w:p>
            <w:pPr>
              <w:widowControl/>
              <w:adjustRightInd w:val="0"/>
              <w:snapToGrid w:val="0"/>
              <w:jc w:val="left"/>
              <w:rPr>
                <w:rFonts w:hint="eastAsia" w:ascii="黑体" w:hAnsi="黑体" w:eastAsia="黑体" w:cs="黑体"/>
              </w:rPr>
            </w:pPr>
            <w:r>
              <w:rPr>
                <w:rFonts w:hint="eastAsia" w:ascii="黑体" w:hAnsi="黑体" w:eastAsia="黑体" w:cs="黑体"/>
              </w:rPr>
              <w:t>医保大数据分析模块</w:t>
            </w:r>
          </w:p>
        </w:tc>
        <w:tc>
          <w:tcPr>
            <w:tcW w:w="1701" w:type="dxa"/>
            <w:vMerge w:val="continue"/>
            <w:vAlign w:val="center"/>
          </w:tcPr>
          <w:p>
            <w:pPr>
              <w:widowControl/>
              <w:jc w:val="center"/>
              <w:rPr>
                <w:rFonts w:hint="eastAsia"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748" w:type="dxa"/>
            <w:vMerge w:val="continue"/>
            <w:vAlign w:val="center"/>
          </w:tcPr>
          <w:p>
            <w:pPr>
              <w:widowControl/>
              <w:jc w:val="center"/>
              <w:rPr>
                <w:rFonts w:hint="eastAsia" w:ascii="黑体" w:hAnsi="黑体" w:eastAsia="黑体" w:cs="黑体"/>
              </w:rPr>
            </w:pPr>
          </w:p>
        </w:tc>
        <w:tc>
          <w:tcPr>
            <w:tcW w:w="2082" w:type="dxa"/>
            <w:vMerge w:val="continue"/>
            <w:vAlign w:val="center"/>
          </w:tcPr>
          <w:p>
            <w:pPr>
              <w:widowControl/>
              <w:adjustRightInd w:val="0"/>
              <w:snapToGrid w:val="0"/>
              <w:jc w:val="center"/>
              <w:rPr>
                <w:rFonts w:hint="eastAsia" w:ascii="黑体" w:hAnsi="黑体" w:eastAsia="黑体" w:cs="黑体"/>
              </w:rPr>
            </w:pPr>
          </w:p>
        </w:tc>
        <w:tc>
          <w:tcPr>
            <w:tcW w:w="3969" w:type="dxa"/>
            <w:shd w:val="clear" w:color="auto" w:fill="auto"/>
            <w:noWrap/>
            <w:vAlign w:val="center"/>
          </w:tcPr>
          <w:p>
            <w:pPr>
              <w:widowControl/>
              <w:adjustRightInd w:val="0"/>
              <w:snapToGrid w:val="0"/>
              <w:jc w:val="left"/>
              <w:rPr>
                <w:rFonts w:hint="eastAsia" w:ascii="黑体" w:hAnsi="黑体" w:eastAsia="黑体" w:cs="黑体"/>
              </w:rPr>
            </w:pPr>
            <w:r>
              <w:rPr>
                <w:rFonts w:hint="eastAsia" w:ascii="黑体" w:hAnsi="黑体" w:eastAsia="黑体" w:cs="黑体"/>
              </w:rPr>
              <w:t>医保基金监管模块</w:t>
            </w:r>
          </w:p>
        </w:tc>
        <w:tc>
          <w:tcPr>
            <w:tcW w:w="1701" w:type="dxa"/>
            <w:vMerge w:val="continue"/>
            <w:vAlign w:val="center"/>
          </w:tcPr>
          <w:p>
            <w:pPr>
              <w:widowControl/>
              <w:jc w:val="center"/>
              <w:rPr>
                <w:rFonts w:hint="eastAsia"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748" w:type="dxa"/>
            <w:vMerge w:val="continue"/>
            <w:vAlign w:val="center"/>
          </w:tcPr>
          <w:p>
            <w:pPr>
              <w:widowControl/>
              <w:jc w:val="center"/>
              <w:rPr>
                <w:rFonts w:hint="eastAsia" w:ascii="黑体" w:hAnsi="黑体" w:eastAsia="黑体" w:cs="黑体"/>
              </w:rPr>
            </w:pPr>
          </w:p>
        </w:tc>
        <w:tc>
          <w:tcPr>
            <w:tcW w:w="2082" w:type="dxa"/>
            <w:vMerge w:val="continue"/>
            <w:vAlign w:val="center"/>
          </w:tcPr>
          <w:p>
            <w:pPr>
              <w:widowControl/>
              <w:adjustRightInd w:val="0"/>
              <w:snapToGrid w:val="0"/>
              <w:jc w:val="center"/>
              <w:rPr>
                <w:rFonts w:hint="eastAsia" w:ascii="黑体" w:hAnsi="黑体" w:eastAsia="黑体" w:cs="黑体"/>
              </w:rPr>
            </w:pPr>
          </w:p>
        </w:tc>
        <w:tc>
          <w:tcPr>
            <w:tcW w:w="3969" w:type="dxa"/>
            <w:shd w:val="clear" w:color="auto" w:fill="auto"/>
            <w:noWrap/>
            <w:vAlign w:val="center"/>
          </w:tcPr>
          <w:p>
            <w:pPr>
              <w:widowControl/>
              <w:adjustRightInd w:val="0"/>
              <w:snapToGrid w:val="0"/>
              <w:jc w:val="left"/>
              <w:rPr>
                <w:rFonts w:hint="eastAsia" w:ascii="黑体" w:hAnsi="黑体" w:eastAsia="黑体" w:cs="黑体"/>
              </w:rPr>
            </w:pPr>
            <w:r>
              <w:rPr>
                <w:rFonts w:hint="eastAsia" w:ascii="黑体" w:hAnsi="黑体" w:eastAsia="黑体" w:cs="黑体"/>
              </w:rPr>
              <w:t>门诊事中监控审核模块</w:t>
            </w:r>
          </w:p>
        </w:tc>
        <w:tc>
          <w:tcPr>
            <w:tcW w:w="1701" w:type="dxa"/>
            <w:vMerge w:val="continue"/>
            <w:vAlign w:val="center"/>
          </w:tcPr>
          <w:p>
            <w:pPr>
              <w:widowControl/>
              <w:jc w:val="center"/>
              <w:rPr>
                <w:rFonts w:hint="eastAsia"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48" w:type="dxa"/>
            <w:vMerge w:val="continue"/>
            <w:vAlign w:val="center"/>
          </w:tcPr>
          <w:p>
            <w:pPr>
              <w:widowControl/>
              <w:jc w:val="center"/>
              <w:rPr>
                <w:rFonts w:hint="eastAsia" w:ascii="黑体" w:hAnsi="黑体" w:eastAsia="黑体" w:cs="黑体"/>
              </w:rPr>
            </w:pPr>
          </w:p>
        </w:tc>
        <w:tc>
          <w:tcPr>
            <w:tcW w:w="2082" w:type="dxa"/>
            <w:vMerge w:val="continue"/>
            <w:vAlign w:val="center"/>
          </w:tcPr>
          <w:p>
            <w:pPr>
              <w:widowControl/>
              <w:adjustRightInd w:val="0"/>
              <w:snapToGrid w:val="0"/>
              <w:jc w:val="center"/>
              <w:rPr>
                <w:rFonts w:hint="eastAsia" w:ascii="黑体" w:hAnsi="黑体" w:eastAsia="黑体" w:cs="黑体"/>
              </w:rPr>
            </w:pPr>
          </w:p>
        </w:tc>
        <w:tc>
          <w:tcPr>
            <w:tcW w:w="3969" w:type="dxa"/>
            <w:shd w:val="clear" w:color="auto" w:fill="auto"/>
            <w:noWrap/>
            <w:vAlign w:val="center"/>
          </w:tcPr>
          <w:p>
            <w:pPr>
              <w:widowControl/>
              <w:adjustRightInd w:val="0"/>
              <w:snapToGrid w:val="0"/>
              <w:jc w:val="left"/>
              <w:rPr>
                <w:rFonts w:hint="eastAsia" w:ascii="黑体" w:hAnsi="黑体" w:eastAsia="黑体" w:cs="黑体"/>
              </w:rPr>
            </w:pPr>
            <w:r>
              <w:rPr>
                <w:rFonts w:hint="eastAsia" w:ascii="黑体" w:hAnsi="黑体" w:eastAsia="黑体" w:cs="黑体"/>
              </w:rPr>
              <w:t>住院事中监控审核模块</w:t>
            </w:r>
          </w:p>
        </w:tc>
        <w:tc>
          <w:tcPr>
            <w:tcW w:w="1701" w:type="dxa"/>
            <w:vMerge w:val="continue"/>
            <w:vAlign w:val="center"/>
          </w:tcPr>
          <w:p>
            <w:pPr>
              <w:widowControl/>
              <w:jc w:val="center"/>
              <w:rPr>
                <w:rFonts w:hint="eastAsia"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48" w:type="dxa"/>
            <w:vMerge w:val="continue"/>
            <w:vAlign w:val="center"/>
          </w:tcPr>
          <w:p>
            <w:pPr>
              <w:widowControl/>
              <w:jc w:val="center"/>
              <w:rPr>
                <w:rFonts w:hint="eastAsia" w:ascii="黑体" w:hAnsi="黑体" w:eastAsia="黑体" w:cs="黑体"/>
              </w:rPr>
            </w:pPr>
          </w:p>
        </w:tc>
        <w:tc>
          <w:tcPr>
            <w:tcW w:w="2082" w:type="dxa"/>
            <w:vMerge w:val="continue"/>
            <w:vAlign w:val="center"/>
          </w:tcPr>
          <w:p>
            <w:pPr>
              <w:widowControl/>
              <w:adjustRightInd w:val="0"/>
              <w:snapToGrid w:val="0"/>
              <w:jc w:val="center"/>
              <w:rPr>
                <w:rFonts w:hint="eastAsia" w:ascii="黑体" w:hAnsi="黑体" w:eastAsia="黑体" w:cs="黑体"/>
              </w:rPr>
            </w:pPr>
          </w:p>
        </w:tc>
        <w:tc>
          <w:tcPr>
            <w:tcW w:w="3969" w:type="dxa"/>
            <w:shd w:val="clear" w:color="auto" w:fill="auto"/>
            <w:noWrap/>
            <w:vAlign w:val="center"/>
          </w:tcPr>
          <w:p>
            <w:pPr>
              <w:widowControl/>
              <w:adjustRightInd w:val="0"/>
              <w:snapToGrid w:val="0"/>
              <w:jc w:val="left"/>
              <w:rPr>
                <w:rFonts w:hint="eastAsia" w:ascii="黑体" w:hAnsi="黑体" w:eastAsia="黑体" w:cs="黑体"/>
              </w:rPr>
            </w:pPr>
            <w:r>
              <w:rPr>
                <w:rFonts w:hint="eastAsia" w:ascii="黑体" w:hAnsi="黑体" w:eastAsia="黑体" w:cs="黑体"/>
              </w:rPr>
              <w:t>护理事中监控审核模块</w:t>
            </w:r>
          </w:p>
        </w:tc>
        <w:tc>
          <w:tcPr>
            <w:tcW w:w="1701" w:type="dxa"/>
            <w:vMerge w:val="continue"/>
            <w:vAlign w:val="center"/>
          </w:tcPr>
          <w:p>
            <w:pPr>
              <w:widowControl/>
              <w:jc w:val="center"/>
              <w:rPr>
                <w:rFonts w:hint="eastAsia"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48" w:type="dxa"/>
            <w:vMerge w:val="continue"/>
            <w:vAlign w:val="center"/>
          </w:tcPr>
          <w:p>
            <w:pPr>
              <w:widowControl/>
              <w:jc w:val="center"/>
              <w:rPr>
                <w:rFonts w:hint="eastAsia" w:ascii="黑体" w:hAnsi="黑体" w:eastAsia="黑体" w:cs="黑体"/>
              </w:rPr>
            </w:pPr>
          </w:p>
        </w:tc>
        <w:tc>
          <w:tcPr>
            <w:tcW w:w="2082" w:type="dxa"/>
            <w:vMerge w:val="continue"/>
            <w:vAlign w:val="center"/>
          </w:tcPr>
          <w:p>
            <w:pPr>
              <w:widowControl/>
              <w:adjustRightInd w:val="0"/>
              <w:snapToGrid w:val="0"/>
              <w:jc w:val="center"/>
              <w:rPr>
                <w:rFonts w:hint="eastAsia" w:ascii="黑体" w:hAnsi="黑体" w:eastAsia="黑体" w:cs="黑体"/>
              </w:rPr>
            </w:pPr>
          </w:p>
        </w:tc>
        <w:tc>
          <w:tcPr>
            <w:tcW w:w="3969" w:type="dxa"/>
            <w:shd w:val="clear" w:color="auto" w:fill="auto"/>
            <w:noWrap/>
            <w:vAlign w:val="center"/>
          </w:tcPr>
          <w:p>
            <w:pPr>
              <w:widowControl/>
              <w:adjustRightInd w:val="0"/>
              <w:snapToGrid w:val="0"/>
              <w:jc w:val="left"/>
              <w:rPr>
                <w:rFonts w:hint="eastAsia" w:ascii="黑体" w:hAnsi="黑体" w:eastAsia="黑体" w:cs="黑体"/>
              </w:rPr>
            </w:pPr>
            <w:r>
              <w:rPr>
                <w:rFonts w:hint="eastAsia" w:ascii="黑体" w:hAnsi="黑体" w:eastAsia="黑体" w:cs="黑体"/>
              </w:rPr>
              <w:t>医保合规追溯模块</w:t>
            </w:r>
          </w:p>
        </w:tc>
        <w:tc>
          <w:tcPr>
            <w:tcW w:w="1701" w:type="dxa"/>
            <w:vMerge w:val="continue"/>
            <w:vAlign w:val="center"/>
          </w:tcPr>
          <w:p>
            <w:pPr>
              <w:widowControl/>
              <w:jc w:val="center"/>
              <w:rPr>
                <w:rFonts w:hint="eastAsia"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48" w:type="dxa"/>
            <w:vMerge w:val="continue"/>
            <w:vAlign w:val="center"/>
          </w:tcPr>
          <w:p>
            <w:pPr>
              <w:widowControl/>
              <w:jc w:val="center"/>
              <w:rPr>
                <w:rFonts w:hint="eastAsia" w:ascii="黑体" w:hAnsi="黑体" w:eastAsia="黑体" w:cs="黑体"/>
              </w:rPr>
            </w:pPr>
          </w:p>
        </w:tc>
        <w:tc>
          <w:tcPr>
            <w:tcW w:w="2082" w:type="dxa"/>
            <w:vMerge w:val="continue"/>
            <w:vAlign w:val="center"/>
          </w:tcPr>
          <w:p>
            <w:pPr>
              <w:widowControl/>
              <w:adjustRightInd w:val="0"/>
              <w:snapToGrid w:val="0"/>
              <w:jc w:val="center"/>
              <w:rPr>
                <w:rFonts w:hint="eastAsia" w:ascii="黑体" w:hAnsi="黑体" w:eastAsia="黑体" w:cs="黑体"/>
              </w:rPr>
            </w:pPr>
          </w:p>
        </w:tc>
        <w:tc>
          <w:tcPr>
            <w:tcW w:w="3969" w:type="dxa"/>
            <w:shd w:val="clear" w:color="auto" w:fill="auto"/>
            <w:noWrap/>
            <w:vAlign w:val="center"/>
          </w:tcPr>
          <w:p>
            <w:pPr>
              <w:widowControl/>
              <w:adjustRightInd w:val="0"/>
              <w:snapToGrid w:val="0"/>
              <w:jc w:val="left"/>
              <w:rPr>
                <w:rFonts w:hint="eastAsia" w:ascii="黑体" w:hAnsi="黑体" w:eastAsia="黑体" w:cs="黑体"/>
              </w:rPr>
            </w:pPr>
            <w:r>
              <w:rPr>
                <w:rFonts w:hint="eastAsia" w:ascii="黑体" w:hAnsi="黑体" w:eastAsia="黑体"/>
                <w:color w:val="000000" w:themeColor="text1"/>
                <w:szCs w:val="16"/>
                <w14:textFill>
                  <w14:solidFill>
                    <w14:schemeClr w14:val="tx1"/>
                  </w14:solidFill>
                </w14:textFill>
              </w:rPr>
              <w:t>飞检常态化管理</w:t>
            </w:r>
            <w:r>
              <w:rPr>
                <w:rFonts w:hint="eastAsia" w:ascii="黑体" w:hAnsi="黑体" w:eastAsia="黑体" w:cs="黑体"/>
              </w:rPr>
              <w:t>模块</w:t>
            </w:r>
          </w:p>
        </w:tc>
        <w:tc>
          <w:tcPr>
            <w:tcW w:w="1701" w:type="dxa"/>
            <w:vMerge w:val="continue"/>
            <w:vAlign w:val="center"/>
          </w:tcPr>
          <w:p>
            <w:pPr>
              <w:widowControl/>
              <w:jc w:val="center"/>
              <w:rPr>
                <w:rFonts w:hint="eastAsia"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48" w:type="dxa"/>
            <w:vAlign w:val="center"/>
          </w:tcPr>
          <w:p>
            <w:pPr>
              <w:widowControl/>
              <w:jc w:val="center"/>
              <w:rPr>
                <w:rFonts w:hint="eastAsia" w:ascii="黑体" w:hAnsi="黑体" w:eastAsia="黑体" w:cs="黑体"/>
              </w:rPr>
            </w:pPr>
            <w:r>
              <w:rPr>
                <w:rFonts w:hint="eastAsia" w:ascii="黑体" w:hAnsi="黑体" w:eastAsia="黑体" w:cs="黑体"/>
              </w:rPr>
              <w:t>3</w:t>
            </w:r>
          </w:p>
        </w:tc>
        <w:tc>
          <w:tcPr>
            <w:tcW w:w="2082" w:type="dxa"/>
            <w:vAlign w:val="center"/>
          </w:tcPr>
          <w:p>
            <w:pPr>
              <w:widowControl/>
              <w:adjustRightInd w:val="0"/>
              <w:snapToGrid w:val="0"/>
              <w:jc w:val="center"/>
              <w:rPr>
                <w:rFonts w:hint="eastAsia" w:ascii="黑体" w:hAnsi="黑体" w:eastAsia="黑体" w:cs="黑体"/>
              </w:rPr>
            </w:pPr>
            <w:r>
              <w:rPr>
                <w:rFonts w:hint="eastAsia" w:ascii="黑体" w:hAnsi="黑体" w:eastAsia="黑体" w:cs="黑体"/>
              </w:rPr>
              <w:t>支撑体系</w:t>
            </w:r>
          </w:p>
        </w:tc>
        <w:tc>
          <w:tcPr>
            <w:tcW w:w="3969" w:type="dxa"/>
            <w:shd w:val="clear" w:color="auto" w:fill="auto"/>
            <w:noWrap/>
            <w:vAlign w:val="center"/>
          </w:tcPr>
          <w:p>
            <w:pPr>
              <w:widowControl/>
              <w:adjustRightInd w:val="0"/>
              <w:snapToGrid w:val="0"/>
              <w:jc w:val="left"/>
              <w:rPr>
                <w:rFonts w:hint="eastAsia" w:ascii="黑体" w:hAnsi="黑体" w:eastAsia="黑体" w:cs="黑体"/>
              </w:rPr>
            </w:pPr>
            <w:r>
              <w:rPr>
                <w:rFonts w:hint="eastAsia" w:ascii="黑体" w:hAnsi="黑体" w:eastAsia="黑体" w:cs="黑体"/>
              </w:rPr>
              <w:t>临床助手、规则库等</w:t>
            </w:r>
          </w:p>
        </w:tc>
        <w:tc>
          <w:tcPr>
            <w:tcW w:w="1701" w:type="dxa"/>
            <w:vAlign w:val="center"/>
          </w:tcPr>
          <w:p>
            <w:pPr>
              <w:widowControl/>
              <w:jc w:val="center"/>
              <w:rPr>
                <w:rFonts w:hint="eastAsia" w:ascii="黑体" w:hAnsi="黑体" w:eastAsia="黑体" w:cs="黑体"/>
              </w:rPr>
            </w:pPr>
          </w:p>
        </w:tc>
      </w:tr>
    </w:tbl>
    <w:p>
      <w:pPr>
        <w:rPr>
          <w:rFonts w:hint="eastAsia"/>
        </w:rPr>
      </w:pPr>
    </w:p>
    <w:p>
      <w:pPr>
        <w:pStyle w:val="4"/>
        <w:numPr>
          <w:ilvl w:val="0"/>
          <w:numId w:val="1"/>
        </w:numPr>
        <w:adjustRightInd w:val="0"/>
        <w:spacing w:line="360" w:lineRule="auto"/>
        <w:ind w:left="0" w:firstLine="0"/>
        <w:jc w:val="left"/>
        <w:textAlignment w:val="baseline"/>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具体功能需求如下：</w:t>
      </w:r>
    </w:p>
    <w:p>
      <w:pPr>
        <w:pStyle w:val="4"/>
        <w:numPr>
          <w:ilvl w:val="1"/>
          <w:numId w:val="1"/>
        </w:numPr>
        <w:adjustRightInd w:val="0"/>
        <w:spacing w:line="360" w:lineRule="auto"/>
        <w:ind w:left="0" w:firstLine="0"/>
        <w:jc w:val="left"/>
        <w:textAlignment w:val="baseline"/>
        <w:outlineLvl w:val="1"/>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总体要求</w:t>
      </w:r>
    </w:p>
    <w:p>
      <w:pPr>
        <w:pStyle w:val="8"/>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系统应采用B/S架构部署，提供软件测评报告。</w:t>
      </w:r>
    </w:p>
    <w:p>
      <w:pPr>
        <w:pStyle w:val="8"/>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系统应采用模块化的系统结构，利于系统升级、扩充；</w:t>
      </w:r>
    </w:p>
    <w:p>
      <w:pPr>
        <w:pStyle w:val="8"/>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系统应具备灵活的权限配置（支持全院、不同科室、医生不同层级的权限设置）</w:t>
      </w:r>
    </w:p>
    <w:p>
      <w:pPr>
        <w:pStyle w:val="8"/>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客户端支持360、IE、EDGE、Firefox等主流浏览器，服务端可单独部署，对其它软件和应用无影响。</w:t>
      </w:r>
    </w:p>
    <w:p>
      <w:pPr>
        <w:pStyle w:val="8"/>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支持ORACLE、SqlServer、MySql等主流大型数据库系统。</w:t>
      </w:r>
    </w:p>
    <w:p>
      <w:pPr>
        <w:pStyle w:val="8"/>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支持人大金仓、瀚高、达梦、神舟等国产数据库，满足医院未来可能切换国产数据库的需求，提供适配信创认证证书。</w:t>
      </w:r>
    </w:p>
    <w:p>
      <w:pPr>
        <w:pStyle w:val="8"/>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提供配套的ETL工具、数据订阅工具、消息引擎、规则库、报表工具、数据共享引擎等一系列应用工具，可确保各种临床和管理应用效果的配置扩展实现。</w:t>
      </w:r>
    </w:p>
    <w:p>
      <w:pPr>
        <w:pStyle w:val="4"/>
        <w:numPr>
          <w:ilvl w:val="1"/>
          <w:numId w:val="1"/>
        </w:numPr>
        <w:adjustRightInd w:val="0"/>
        <w:spacing w:line="360" w:lineRule="auto"/>
        <w:ind w:left="0" w:firstLine="0"/>
        <w:jc w:val="left"/>
        <w:textAlignment w:val="baseline"/>
        <w:outlineLvl w:val="1"/>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s="黑体"/>
          <w:b w:val="0"/>
          <w:bCs w:val="0"/>
          <w:color w:val="000000" w:themeColor="text1"/>
          <w:sz w:val="24"/>
          <w:szCs w:val="24"/>
          <w14:textFill>
            <w14:solidFill>
              <w14:schemeClr w14:val="tx1"/>
            </w14:solidFill>
          </w14:textFill>
        </w:rPr>
        <w:t>具体功能要求</w:t>
      </w:r>
    </w:p>
    <w:p>
      <w:pPr>
        <w:pStyle w:val="4"/>
        <w:numPr>
          <w:ilvl w:val="1"/>
          <w:numId w:val="4"/>
        </w:numPr>
        <w:adjustRightInd w:val="0"/>
        <w:spacing w:line="360" w:lineRule="auto"/>
        <w:ind w:left="284" w:hanging="284"/>
        <w:jc w:val="left"/>
        <w:textAlignment w:val="baseline"/>
        <w:outlineLvl w:val="2"/>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医保数据统计报表</w:t>
      </w:r>
    </w:p>
    <w:p>
      <w:pPr>
        <w:pStyle w:val="8"/>
        <w:numPr>
          <w:ilvl w:val="0"/>
          <w:numId w:val="5"/>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门诊费用统计：支持对门诊各项费用情况进行统计分析，可按险种类别、统计方式、科室等多种筛选条件，统计各科室门诊的费用情况。同时可按险种、机构、科室、医生、日期等不同的汇总过滤条件进行分析。支持柱形图方式直观显示科室的统计情况。</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险种统计具有按人员类型、医保区划、生育标志、医保险种和HIS险种进行险种设置；人员类型支持职工、居民、自费类型设置；医保区划支持市本级、省本级、省内异地、省外异地设置；支持设置是否生育标准；支持按照医保险种和HIS险种进行统计范围设置，支持基本医疗、工伤、生育、商保、其他等险种，其中其他险种至少包括公务员、离休、大额、失业、企业补充等十几种以上的险种，险种展示可以展开或折叠操作。</w:t>
      </w:r>
    </w:p>
    <w:p>
      <w:pPr>
        <w:pStyle w:val="8"/>
        <w:numPr>
          <w:ilvl w:val="0"/>
          <w:numId w:val="5"/>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住院费用统计：支持对住院的各项费用情况进行统计分析，可按险种类别、统计方式、统计口径（出院结算、住院发生）、科室等多种筛选条件，统计住院的各项费用情况。同时可按险种、机构、科室、三级医师组、医生、各科室的总金额、基金支付量及占比、自费金额及占比、就诊人次、就诊人数、平均床日、占床日、人均费用、次均费用、日均费用、药占比、诊疗占比、耗材占比、检查费、治疗费等各指标的费用数据展示。</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统计口径支持下拉形式选择出院结算或住院发生进行选择；</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对于分析显示的内容支持通过勾选的方式添加或删除，形成动态分析报表；</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柱状图根据汇总条件设置和显示图形数量设置进行显示，如排名前</w:t>
      </w:r>
      <w:r>
        <w:rPr>
          <w:rFonts w:ascii="黑体" w:hAnsi="黑体" w:eastAsia="黑体"/>
          <w:color w:val="000000" w:themeColor="text1"/>
          <w14:textFill>
            <w14:solidFill>
              <w14:schemeClr w14:val="tx1"/>
            </w14:solidFill>
          </w14:textFill>
        </w:rPr>
        <w:t>8</w:t>
      </w:r>
      <w:r>
        <w:rPr>
          <w:rFonts w:hint="eastAsia" w:ascii="黑体" w:hAnsi="黑体" w:eastAsia="黑体"/>
          <w:color w:val="000000" w:themeColor="text1"/>
          <w14:textFill>
            <w14:solidFill>
              <w14:schemeClr w14:val="tx1"/>
            </w14:solidFill>
          </w14:textFill>
        </w:rPr>
        <w:t>的险种住院费用统计；</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支持按“定基”设置选择历史任意时间范围内的数据作为对比基数进行对比分析。柱状图显示本期值和基期值；</w:t>
      </w:r>
    </w:p>
    <w:p>
      <w:pPr>
        <w:pStyle w:val="8"/>
        <w:numPr>
          <w:ilvl w:val="0"/>
          <w:numId w:val="5"/>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科室次均费用: 按门诊结算、出院结算等不同的统计口径对科室次均费用情况进行统计分析。同时支持按照险种类别、统计月份、科室、汇总条件等多种筛选条件，统计各科室的人次、人数、总费用、险种占本科室收入比、人次占本科室人次比、人次人头比、次均费用、药品费用、药占比、次均药费、西药费及占比、中成药费及占比、草药费及占比、耗材费及占比等各项数据。</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统计口径支持下拉形式选择出院结算和门诊结算，对于出院结算的患者可以筛选不同住院天数的患者，如住院天数在</w:t>
      </w:r>
      <w:r>
        <w:rPr>
          <w:rFonts w:ascii="黑体" w:hAnsi="黑体" w:eastAsia="黑体"/>
          <w:color w:val="000000" w:themeColor="text1"/>
          <w14:textFill>
            <w14:solidFill>
              <w14:schemeClr w14:val="tx1"/>
            </w14:solidFill>
          </w14:textFill>
        </w:rPr>
        <w:t>5-8</w:t>
      </w:r>
      <w:r>
        <w:rPr>
          <w:rFonts w:hint="eastAsia" w:ascii="黑体" w:hAnsi="黑体" w:eastAsia="黑体"/>
          <w:color w:val="000000" w:themeColor="text1"/>
          <w14:textFill>
            <w14:solidFill>
              <w14:schemeClr w14:val="tx1"/>
            </w14:solidFill>
          </w14:textFill>
        </w:rPr>
        <w:t>天内的患者；</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柱状图按科室排名展示不同科室的次均费用、次均药费、次均西药费、次均中成药费、次均中草药费等；</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医保拒付统计：能够有效的进行医保拒付信息的查询与统计，并可按险种、科室、医生以及拒付原因等条件进行选择；</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支持按发生时间、导出时间分别统计；</w:t>
      </w:r>
    </w:p>
    <w:p>
      <w:pPr>
        <w:pStyle w:val="8"/>
        <w:numPr>
          <w:ilvl w:val="0"/>
          <w:numId w:val="5"/>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重点项目监控：可根据医院管理需求，自行定义监控的药品、收费项目的监控主题，对门诊、住院场景的开单和执行情况进行分析。</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支持对全量数据进行重点项目的监控，也可以选择一个或多个险种对重点项进行分析;</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支持对某一天、月度、季度、年度或跨年的重点药品或收费项目进行监控分析;</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具有分析门诊或住院不同场景的重点项目进行监控;</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可设置分析的科室类型为开单科室或执行科室;</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支持选择一个或多个重点项目进行监控分析;</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支持分析视角设置，按数量或按金额进行监控分析;</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监控的药品或项目可以进行设置，支持选择单个项进行分析，或设置主题的方还是形成项目主题进行选择，支持设置多个主题进行选择;</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在设置项目主题时，支持选择多个项目组合成主题保存，支持通过大项方式筛选，具体的大项包含但不限于西药、草药、中成药、检查费、治疗费、放射费、检验费、手术费、材料费、挂号费、B超费、C</w:t>
      </w:r>
      <w:r>
        <w:rPr>
          <w:rFonts w:ascii="黑体" w:hAnsi="黑体" w:eastAsia="黑体"/>
          <w:color w:val="000000" w:themeColor="text1"/>
          <w14:textFill>
            <w14:solidFill>
              <w14:schemeClr w14:val="tx1"/>
            </w14:solidFill>
          </w14:textFill>
        </w:rPr>
        <w:t>T</w:t>
      </w:r>
      <w:r>
        <w:rPr>
          <w:rFonts w:hint="eastAsia" w:ascii="黑体" w:hAnsi="黑体" w:eastAsia="黑体"/>
          <w:color w:val="000000" w:themeColor="text1"/>
          <w14:textFill>
            <w14:solidFill>
              <w14:schemeClr w14:val="tx1"/>
            </w14:solidFill>
          </w14:textFill>
        </w:rPr>
        <w:t>等;</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系统通过柱状图方式分析一个或多个科室的重点项目情况，在分析界面支持科室的选择，柱状图动态加载;</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支持对所选科室重点项目的趋势分析，通过不同颜色对科室进行分析;</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所有图形化展示内容可放大、下载导出到本地，支持存储为透明背景格式;</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按科室分析的重点项详情展示各个月份的数量占比情况，支持通过鼠标右键方式切换到费用项目、科室或医生视角进行分析;</w:t>
      </w:r>
    </w:p>
    <w:p>
      <w:pPr>
        <w:pStyle w:val="8"/>
        <w:numPr>
          <w:ilvl w:val="0"/>
          <w:numId w:val="5"/>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住院周期分析：可按照结算日期和住院日期分别统计住院周期与费用结构情况。分析时可合并判断附加条件。</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支统计分析时可合并判断附加条件，如入院间隔天数大于等于</w:t>
      </w: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天且小于</w:t>
      </w:r>
      <w:r>
        <w:rPr>
          <w:rFonts w:ascii="黑体" w:hAnsi="黑体" w:eastAsia="黑体"/>
          <w:color w:val="000000" w:themeColor="text1"/>
          <w14:textFill>
            <w14:solidFill>
              <w14:schemeClr w14:val="tx1"/>
            </w14:solidFill>
          </w14:textFill>
        </w:rPr>
        <w:t>10</w:t>
      </w:r>
      <w:r>
        <w:rPr>
          <w:rFonts w:hint="eastAsia" w:ascii="黑体" w:hAnsi="黑体" w:eastAsia="黑体"/>
          <w:color w:val="000000" w:themeColor="text1"/>
          <w14:textFill>
            <w14:solidFill>
              <w14:schemeClr w14:val="tx1"/>
            </w14:solidFill>
          </w14:textFill>
        </w:rPr>
        <w:t>天；</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运算逻辑支持“且”或“并”；</w:t>
      </w:r>
    </w:p>
    <w:p>
      <w:pPr>
        <w:pStyle w:val="8"/>
        <w:numPr>
          <w:ilvl w:val="0"/>
          <w:numId w:val="5"/>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门诊处方统计：通过对门诊处方情况进行汇总分析，了解各个险种、科室、医生的门诊处方按险种、科室、医生在西药、成药、草药、颗粒、抗生素的处方及占比情况。</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可以选择不同险种的对门诊处方进行分析；</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可以按处方交易的时间，选择具体月份，可以跨年进行汇总；</w:t>
      </w:r>
      <w:r>
        <w:rPr>
          <w:rFonts w:ascii="黑体" w:hAnsi="黑体" w:eastAsia="黑体"/>
          <w:color w:val="000000" w:themeColor="text1"/>
          <w14:textFill>
            <w14:solidFill>
              <w14:schemeClr w14:val="tx1"/>
            </w14:solidFill>
          </w14:textFill>
        </w:rPr>
        <w:t xml:space="preserve"> </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支持分析一个或多个机构的门诊处方情况；</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支持选择一个或多个科室进行门诊处方的汇总分析；</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支持对科室的层级进行管理，按医院的管理需求，可以分析一级科室、二级科室、三级科室；</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汇总条件支持机构、科室、医生维度的组合分析；</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对于汇总的各个维度的数据，设置分析主题，进行保存；</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支持通过“历史数据”进行查询分析；</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系统统计数据内容包括处方数、西药处方数、西药处方占比、成药处方数、成药处方占比、草药处方数、草药处方占比、抗生素处方数、抗生素处方占比、颗粒处方数、颗粒处方占比的统计；</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系统支持对分析报表的数据进行排序管理，或隐藏管理；</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支持对占比指标的备注说明，并在分析页面通过查看标识查看各指标说明注释；</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统计报表各列支持排序；</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统计报表支持导出到本地；</w:t>
      </w:r>
    </w:p>
    <w:p>
      <w:pPr>
        <w:pStyle w:val="4"/>
        <w:numPr>
          <w:ilvl w:val="1"/>
          <w:numId w:val="4"/>
        </w:numPr>
        <w:adjustRightInd w:val="0"/>
        <w:spacing w:line="360" w:lineRule="auto"/>
        <w:ind w:left="0" w:firstLine="0"/>
        <w:jc w:val="left"/>
        <w:textAlignment w:val="baseline"/>
        <w:outlineLvl w:val="2"/>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医保指标监控</w:t>
      </w:r>
    </w:p>
    <w:p>
      <w:pPr>
        <w:pStyle w:val="8"/>
        <w:numPr>
          <w:ilvl w:val="0"/>
          <w:numId w:val="7"/>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为更好的管控医保基金使用情况以及医保考核的质量要求，系统需提供门诊次均费用、自费比、药占比、药耗比、住院次均费用（小于60天）、住院日均费用（大于60天）、人头人次比、平均住院日、住院药品耗材比、抗生素使用、七日重复住院率、门诊抗生素处方比、住院抗生素使用比、DDD值、非药物中医治疗比等医保考核。需提供多角度、多维度的关键指标监控设置功能以及指标预警功能。</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通过功能按钮弹出指标设置界面；</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对某一个指标可自定义监控名称；</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支持设置是否区分月份；</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可支持监控指标设置监控预警的上限、目标值、下限等多个等级以及预警提醒的各级警戒线功能；</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预警警戒线以指示灯方式（如指示灯：蓝色优、绿色良、黄色中、红色差；箭头表示与去年同期对比）直观显示指标情况；</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提供新增短信编制功能，支持设置发送频率、发送时间、发送方式以短信或微信，可设置是否需要手工确认短信发送内容；</w:t>
      </w:r>
    </w:p>
    <w:p>
      <w:pPr>
        <w:pStyle w:val="8"/>
        <w:numPr>
          <w:ilvl w:val="0"/>
          <w:numId w:val="7"/>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可按患者性质、业务场景（门诊\住院）、科室范围等多个层次进行医保调控。可支持医院的管理需求，自行SQL语句方式配置医院所需的监控指标。</w:t>
      </w:r>
    </w:p>
    <w:p>
      <w:pPr>
        <w:pStyle w:val="8"/>
        <w:numPr>
          <w:ilvl w:val="0"/>
          <w:numId w:val="7"/>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可支持监控指标设置监控预警的上限、目标值、下限等多个等级以及预警提醒的各级警戒线功能。预警警戒线以指示灯方式直观显示指标情况。</w:t>
      </w:r>
    </w:p>
    <w:p>
      <w:pPr>
        <w:pStyle w:val="8"/>
        <w:numPr>
          <w:ilvl w:val="0"/>
          <w:numId w:val="7"/>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指标预警功能可统计科室名称、月份、本期值、与目标差值、差异率、目标值、同期值、与同期差值、同比等指标。可支持查看该科室下各个医师的当前月份的指标情况。</w:t>
      </w:r>
    </w:p>
    <w:p>
      <w:pPr>
        <w:pStyle w:val="8"/>
        <w:numPr>
          <w:ilvl w:val="0"/>
          <w:numId w:val="7"/>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指标监控平台：支持按门诊、住院监控各项指标期值、与目标差值、差异率、目标值、同期值、与同期差值、同比等。</w:t>
      </w:r>
    </w:p>
    <w:p>
      <w:pPr>
        <w:pStyle w:val="8"/>
        <w:numPr>
          <w:ilvl w:val="0"/>
          <w:numId w:val="7"/>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支持一键生成科室通知内容。</w:t>
      </w:r>
    </w:p>
    <w:p>
      <w:pPr>
        <w:pStyle w:val="4"/>
        <w:numPr>
          <w:ilvl w:val="1"/>
          <w:numId w:val="4"/>
        </w:numPr>
        <w:adjustRightInd w:val="0"/>
        <w:spacing w:line="360" w:lineRule="auto"/>
        <w:ind w:left="0" w:firstLine="0"/>
        <w:jc w:val="left"/>
        <w:textAlignment w:val="baseline"/>
        <w:outlineLvl w:val="2"/>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医保基金管理</w:t>
      </w:r>
    </w:p>
    <w:p>
      <w:pPr>
        <w:pStyle w:val="8"/>
        <w:numPr>
          <w:ilvl w:val="0"/>
          <w:numId w:val="8"/>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医保基金预算编制：支持“向导式”医保基金预算编制功能，可根据医保预拨付金额的方式，自动分解到月、科的基金预算编制功能；编制流程支持按月份→科室、月份→科室→三级医师组、月份→科室→医师进行选择。</w:t>
      </w:r>
    </w:p>
    <w:p>
      <w:pPr>
        <w:pStyle w:val="8"/>
        <w:numPr>
          <w:ilvl w:val="0"/>
          <w:numId w:val="8"/>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预算在执行过程中可以调整月预算或追加预算，亦可调整本月前预算。</w:t>
      </w:r>
    </w:p>
    <w:p>
      <w:pPr>
        <w:pStyle w:val="8"/>
        <w:numPr>
          <w:ilvl w:val="0"/>
          <w:numId w:val="8"/>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医保基金预警：通过基金预测编制的维护可进行全院的基金预测分析，并可按科室或门诊及住院进行选择，同时可根据柱状图进行分析。</w:t>
      </w:r>
    </w:p>
    <w:p>
      <w:pPr>
        <w:pStyle w:val="8"/>
        <w:numPr>
          <w:ilvl w:val="0"/>
          <w:numId w:val="8"/>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支出总量控制统计：提供全院每月累计申请基金数、基金支付金额、占比、控制比、全年累计基金总额、累计全年占比、累计控制比等信息。</w:t>
      </w:r>
    </w:p>
    <w:p>
      <w:pPr>
        <w:pStyle w:val="8"/>
        <w:numPr>
          <w:ilvl w:val="0"/>
          <w:numId w:val="8"/>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医保收入预测：按照科学的收入预测方式，提供医保基金收入的预测模型。</w:t>
      </w:r>
    </w:p>
    <w:p>
      <w:pPr>
        <w:pStyle w:val="4"/>
        <w:numPr>
          <w:ilvl w:val="1"/>
          <w:numId w:val="4"/>
        </w:numPr>
        <w:adjustRightInd w:val="0"/>
        <w:spacing w:line="360" w:lineRule="auto"/>
        <w:ind w:left="0" w:firstLine="0"/>
        <w:jc w:val="left"/>
        <w:textAlignment w:val="baseline"/>
        <w:outlineLvl w:val="2"/>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医保大数据挖掘分析</w:t>
      </w:r>
    </w:p>
    <w:p>
      <w:pPr>
        <w:pStyle w:val="8"/>
        <w:numPr>
          <w:ilvl w:val="0"/>
          <w:numId w:val="9"/>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病种分析: 支持病种分析功能，可按照险种类别、统计方式、住院天数、科室等条件分析病种的人次、收入、基金支付、自费率、药占比等情况。同时支持自定义方式选择要分析的病种、三级医师组、医生分别统计分析各病种情况，统计结果支持以图形化和列表方式展现。</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支持按病种维度分析平均住院日、平均住院日同比增长率、次均费用、次均费用同比增长率、收入分析、同比增长人次等指标按可视化图形展示；</w:t>
      </w:r>
    </w:p>
    <w:p>
      <w:pPr>
        <w:pStyle w:val="8"/>
        <w:numPr>
          <w:ilvl w:val="1"/>
          <w:numId w:val="6"/>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病种分析一键弹出多视角包括病种画像功能，病种画像支持分别统计项目对比情况、费用结构情况、并发症、箱式图、收入趋势、险种收入；</w:t>
      </w:r>
    </w:p>
    <w:p>
      <w:pPr>
        <w:pStyle w:val="8"/>
        <w:numPr>
          <w:ilvl w:val="0"/>
          <w:numId w:val="9"/>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收入分析查询：支持对医疗收入情况进行统计分析，可按险种类别、统计方式、门诊/住院/全部、机构、科室、三级医师组、医生等多种筛选条件，统计不同阶段、不同科室、不同统计方式的医疗收入情况。支持图形化、列表方式展示分析结果。同时支持多视角方式分析。</w:t>
      </w:r>
    </w:p>
    <w:p>
      <w:pPr>
        <w:pStyle w:val="8"/>
        <w:numPr>
          <w:ilvl w:val="0"/>
          <w:numId w:val="9"/>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患者分析：支持患者分析功能，可按照险种类别、统计方式、统计口径（门诊/住院/全部）、机构、科室、药占比含草药、医生（支持自定义多选）、省份、城市、区县等条件，统计分析患者的人次、收入、基金支付、自费率、药占比、费用负担、险种人次结构、用药负担、年龄段人次分布、来源分布等各项数据信息，统计结果支持图形化和列表方式展示。</w:t>
      </w:r>
    </w:p>
    <w:p>
      <w:pPr>
        <w:pStyle w:val="8"/>
        <w:numPr>
          <w:ilvl w:val="0"/>
          <w:numId w:val="9"/>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门诊次均费用分析：支持门诊次均费用情况统计分析，可按照险种类别、统计方式、全院、科室等多种筛选条件，统计门诊的各项费用情况。同时支持单处方金额、单项目费用单价、患者一次挂号处方金额、单次就诊草药处方金额、单草药处方金额等的自定义设置功能。</w:t>
      </w:r>
    </w:p>
    <w:p>
      <w:pPr>
        <w:pStyle w:val="8"/>
        <w:numPr>
          <w:ilvl w:val="0"/>
          <w:numId w:val="9"/>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药品及项目排名分析：按照月份、门诊、分类、环比、性质、全院、科室、排名等筛选条件，分析药品及项目排名的情况，分析其中的异常数据。同时支持按科室、病组、患者明细等多视角交叉切换方式分析。</w:t>
      </w:r>
    </w:p>
    <w:p>
      <w:pPr>
        <w:pStyle w:val="8"/>
        <w:numPr>
          <w:ilvl w:val="0"/>
          <w:numId w:val="9"/>
        </w:numPr>
        <w:spacing w:line="360" w:lineRule="auto"/>
        <w:rPr>
          <w:rFonts w:hint="eastAsia" w:ascii="黑体" w:hAnsi="黑体" w:eastAsia="黑体"/>
          <w:color w:val="000000" w:themeColor="text1"/>
          <w14:textFill>
            <w14:solidFill>
              <w14:schemeClr w14:val="tx1"/>
            </w14:solidFill>
          </w14:textFill>
        </w:rPr>
      </w:pPr>
      <w:bookmarkStart w:id="26" w:name="_GoBack"/>
      <w:bookmarkEnd w:id="26"/>
      <w:r>
        <w:rPr>
          <w:rFonts w:hint="eastAsia" w:ascii="黑体" w:hAnsi="黑体" w:eastAsia="黑体"/>
          <w:color w:val="000000" w:themeColor="text1"/>
          <w14:textFill>
            <w14:solidFill>
              <w14:schemeClr w14:val="tx1"/>
            </w14:solidFill>
          </w14:textFill>
        </w:rPr>
        <w:t>综合效能分析：按照趋势、同比、环比、基期比等不同的分析方法，按照不同的统计类型（选择要分析的各项指标）、险种类别、门诊/住院、统计方式（年度范围选择）、基期日期（基准年度范围选择）、科室、三级医师组（支持自定义多选）、医生（支持自定义多选）等多种筛选条件，分别统计分析收入、基金收入、次均费用、次均药品、门急诊人次、门诊收入、门诊药占比、门诊次均费用、门诊次均药费、住院收入、日均住院费用、平均住院日、出院患者人均费用、住院药占比等各指标情况。</w:t>
      </w:r>
    </w:p>
    <w:p>
      <w:pPr>
        <w:pStyle w:val="8"/>
        <w:numPr>
          <w:ilvl w:val="0"/>
          <w:numId w:val="9"/>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短期指标预测模型：支持按照趋势平均法模型算法等短期预测模型，通过对医院各指标的历史数据，运用数学模型方式进行连续性变化趋势分析，对未来计划期3期内预测的基金收入、门诊收入、住院收入、门急诊人数、门诊次均费用、住院药占比、住院床日均费用、平均住院日、日均住院费用、DDD值、抗菌药物使用率、床位使用率、床位周转率、中药处方比、饮片处方比、手术例数、每医生日均负担门急诊人数、科室日均流水、单床月日均流水等各项指标未来的趋势或变化情况进行预测分析，辅助医院更好地制定所选指标的未来决策和计划。</w:t>
      </w:r>
    </w:p>
    <w:p>
      <w:pPr>
        <w:pStyle w:val="8"/>
        <w:numPr>
          <w:ilvl w:val="0"/>
          <w:numId w:val="9"/>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长期指标预测模型：通过对医院各指标历史数据按照时间顺序排列，运用数学模型方式进行连续性变化趋势分析12个月内该指标各月的数据变动趋势情况，对未来计划12期内的基金收入、门诊收入、住院收入、门急诊人数、门诊次均费用、住院药占比、住院床日均费用、平均住院日、日均住院费用、DDD值、抗菌药物使用率、床位使用率、床位周转率、中药处方比、饮片处方比、手术例数、每医生日均负担门急诊人数、科室日均流水、单床月日均流水等各项指标未来的趋势或变化情况进行预测分析，辅助医院更好地制定所选指标的未来决策和计划。</w:t>
      </w:r>
    </w:p>
    <w:p>
      <w:pPr>
        <w:pStyle w:val="8"/>
        <w:numPr>
          <w:ilvl w:val="0"/>
          <w:numId w:val="9"/>
        </w:numPr>
        <w:spacing w:line="360" w:lineRule="auto"/>
        <w:rPr>
          <w:rFonts w:hint="eastAsia" w:ascii="黑体" w:hAnsi="黑体" w:eastAsia="黑体"/>
        </w:rPr>
      </w:pPr>
      <w:r>
        <w:rPr>
          <w:rFonts w:hint="eastAsia" w:ascii="黑体" w:hAnsi="黑体" w:eastAsia="黑体"/>
        </w:rPr>
        <w:t xml:space="preserve">险种分析：系统每个分析页面都具有险种的选择，可以选择1个或多个险种的数据进行分析； </w:t>
      </w:r>
    </w:p>
    <w:p>
      <w:pPr>
        <w:pStyle w:val="8"/>
        <w:numPr>
          <w:ilvl w:val="0"/>
          <w:numId w:val="9"/>
        </w:numPr>
        <w:spacing w:line="360" w:lineRule="auto"/>
        <w:rPr>
          <w:rFonts w:hint="eastAsia" w:ascii="黑体" w:hAnsi="黑体" w:eastAsia="黑体"/>
        </w:rPr>
      </w:pPr>
      <w:r>
        <w:rPr>
          <w:rFonts w:hint="eastAsia" w:ascii="黑体" w:hAnsi="黑体" w:eastAsia="黑体"/>
        </w:rPr>
        <w:t>切换视角分析：在当前分析视角下选择所需分析数据范围组合成新的数据集，切换到全院、科室、医师组、医生、病组、患者明细、费用结构、年度、月份不同视角，支持一键方式回退到上一视角或返回到主题页；支持在新的分析视角下继续选择数据集切换到其他视角；支持在当前视角下选择任一条数据采用钻取的形式查看数据详情。</w:t>
      </w:r>
    </w:p>
    <w:p>
      <w:pPr>
        <w:pStyle w:val="4"/>
        <w:numPr>
          <w:ilvl w:val="1"/>
          <w:numId w:val="4"/>
        </w:numPr>
        <w:adjustRightInd w:val="0"/>
        <w:spacing w:line="360" w:lineRule="auto"/>
        <w:ind w:left="0" w:firstLine="0"/>
        <w:jc w:val="left"/>
        <w:textAlignment w:val="baseline"/>
        <w:outlineLvl w:val="2"/>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门诊事中监控审核</w:t>
      </w:r>
    </w:p>
    <w:p>
      <w:pPr>
        <w:pStyle w:val="8"/>
        <w:numPr>
          <w:ilvl w:val="0"/>
          <w:numId w:val="10"/>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通过与门诊医生工作站深度集成，构建实时诊疗行为监控体系。对门诊业务全流程进行智能化监管，为门诊医生提供全方位的诊疗行为指导，确保医疗服务的规范性、安全性和经济性。</w:t>
      </w:r>
    </w:p>
    <w:p>
      <w:pPr>
        <w:pStyle w:val="8"/>
        <w:numPr>
          <w:ilvl w:val="0"/>
          <w:numId w:val="10"/>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建立规则审核的提醒、限制、审批三级预警机制；</w:t>
      </w:r>
    </w:p>
    <w:p>
      <w:pPr>
        <w:pStyle w:val="8"/>
        <w:numPr>
          <w:ilvl w:val="0"/>
          <w:numId w:val="10"/>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支持对问题处方给HIS系统回传自费标志；</w:t>
      </w:r>
    </w:p>
    <w:p>
      <w:pPr>
        <w:pStyle w:val="8"/>
        <w:numPr>
          <w:ilvl w:val="0"/>
          <w:numId w:val="10"/>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违规规则可按不同颜色提示灯区分问题的严重程度；</w:t>
      </w:r>
    </w:p>
    <w:p>
      <w:pPr>
        <w:pStyle w:val="8"/>
        <w:numPr>
          <w:ilvl w:val="0"/>
          <w:numId w:val="10"/>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直观的方式让医生查看到本科室、医生本人的药占比、次均费用等指标值。</w:t>
      </w:r>
    </w:p>
    <w:p>
      <w:pPr>
        <w:pStyle w:val="4"/>
        <w:numPr>
          <w:ilvl w:val="1"/>
          <w:numId w:val="4"/>
        </w:numPr>
        <w:adjustRightInd w:val="0"/>
        <w:spacing w:line="360" w:lineRule="auto"/>
        <w:ind w:left="0" w:firstLine="0"/>
        <w:jc w:val="left"/>
        <w:textAlignment w:val="baseline"/>
        <w:outlineLvl w:val="2"/>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住院事中监控审核</w:t>
      </w:r>
    </w:p>
    <w:p>
      <w:pPr>
        <w:pStyle w:val="8"/>
        <w:numPr>
          <w:ilvl w:val="0"/>
          <w:numId w:val="11"/>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通过对接住院医生工作站系统构建智能化审核机制，采用实时数据交互模式对医疗行为进行动态监管。基于临床诊疗时间轴同步获取长期医嘱与临时医嘱数据流，通过多维度规则引擎实现政策规则、临床规则、飞检规则的审核功能辅助医生开具医嘱时合理、合法、合规；</w:t>
      </w:r>
    </w:p>
    <w:p>
      <w:pPr>
        <w:pStyle w:val="8"/>
        <w:numPr>
          <w:ilvl w:val="0"/>
          <w:numId w:val="11"/>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通过实时监测医生工作站下达的出院医嘱，自动启动住院全流程终末审核机制。系统采用大数据分析技术，对患者住院期间的全部医嘱、费用进行系统性合规审查，确保患者从入院到出院的全流程合规性，为医疗质量控制和费用管理提供智能化支持；</w:t>
      </w:r>
    </w:p>
    <w:p>
      <w:pPr>
        <w:pStyle w:val="8"/>
        <w:numPr>
          <w:ilvl w:val="0"/>
          <w:numId w:val="11"/>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时间维度需从入院首日至出院当日全医嘱执行轨迹；</w:t>
      </w:r>
    </w:p>
    <w:p>
      <w:pPr>
        <w:pStyle w:val="8"/>
        <w:numPr>
          <w:ilvl w:val="0"/>
          <w:numId w:val="11"/>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类型维度需包括长期医嘱、临时医嘱、手术医嘱、会诊医嘱等；</w:t>
      </w:r>
    </w:p>
    <w:p>
      <w:pPr>
        <w:pStyle w:val="8"/>
        <w:numPr>
          <w:ilvl w:val="0"/>
          <w:numId w:val="11"/>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支持对问题医嘱给HIS系统回传自费标志；</w:t>
      </w:r>
    </w:p>
    <w:p>
      <w:pPr>
        <w:pStyle w:val="8"/>
        <w:numPr>
          <w:ilvl w:val="0"/>
          <w:numId w:val="11"/>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可按不同颜色提示灯区分问题的严重程度；</w:t>
      </w:r>
    </w:p>
    <w:p>
      <w:pPr>
        <w:pStyle w:val="8"/>
        <w:numPr>
          <w:ilvl w:val="0"/>
          <w:numId w:val="11"/>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直观的方式让医生查看到本科室、医生本人的药占比、次均费用等质量系数指标的完成情况。</w:t>
      </w:r>
    </w:p>
    <w:p>
      <w:pPr>
        <w:pStyle w:val="4"/>
        <w:numPr>
          <w:ilvl w:val="1"/>
          <w:numId w:val="4"/>
        </w:numPr>
        <w:adjustRightInd w:val="0"/>
        <w:spacing w:line="360" w:lineRule="auto"/>
        <w:ind w:left="0" w:firstLine="0"/>
        <w:jc w:val="left"/>
        <w:textAlignment w:val="baseline"/>
        <w:outlineLvl w:val="2"/>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护理工作站审核</w:t>
      </w:r>
    </w:p>
    <w:p>
      <w:pPr>
        <w:pStyle w:val="8"/>
        <w:numPr>
          <w:ilvl w:val="0"/>
          <w:numId w:val="12"/>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通过对接病区护士工作站系统构建智能化计费管理体系，通过多维度规则引擎实现精准化费用管控，避免违规信息以及丢漏费情况对出院及转科病人的费用及时进行审核，提高护士结账效率，避免差错。</w:t>
      </w:r>
    </w:p>
    <w:p>
      <w:pPr>
        <w:pStyle w:val="8"/>
        <w:numPr>
          <w:ilvl w:val="0"/>
          <w:numId w:val="12"/>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可按不同颜色提示灯区分问题的严重程度；</w:t>
      </w:r>
    </w:p>
    <w:p>
      <w:pPr>
        <w:pStyle w:val="8"/>
        <w:numPr>
          <w:ilvl w:val="0"/>
          <w:numId w:val="12"/>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当护士计费项目发生疑似违规情况，系统需支持自动弹窗提醒违规疑点问题；</w:t>
      </w:r>
    </w:p>
    <w:p>
      <w:pPr>
        <w:pStyle w:val="8"/>
        <w:numPr>
          <w:ilvl w:val="0"/>
          <w:numId w:val="12"/>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限制管控方式：当护士计费项目发生一般或严重违规问题系统支持弹窗，支持返回修改或强制通过，强制通过需说明理由。</w:t>
      </w:r>
    </w:p>
    <w:p>
      <w:pPr>
        <w:pStyle w:val="4"/>
        <w:numPr>
          <w:ilvl w:val="1"/>
          <w:numId w:val="4"/>
        </w:numPr>
        <w:adjustRightInd w:val="0"/>
        <w:spacing w:line="360" w:lineRule="auto"/>
        <w:ind w:left="0" w:firstLine="0"/>
        <w:jc w:val="left"/>
        <w:textAlignment w:val="baseline"/>
        <w:outlineLvl w:val="2"/>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医保合规追溯</w:t>
      </w:r>
    </w:p>
    <w:p>
      <w:pPr>
        <w:pStyle w:val="8"/>
        <w:numPr>
          <w:ilvl w:val="0"/>
          <w:numId w:val="1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自动分析上一日门诊/住院患者的处方信息、医嘱信息、费用信息，自动根据医保规则判断疑似违规信息，对疑似违规医嘱、费用进行复核，支持对合规审核出的异常信息下钻查看分析具体原因。</w:t>
      </w:r>
    </w:p>
    <w:p>
      <w:pPr>
        <w:pStyle w:val="8"/>
        <w:numPr>
          <w:ilvl w:val="0"/>
          <w:numId w:val="1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按险种类别、日期范围、事中干预（采纳调整、继续使用、强行通过等）、统计口径（门诊/住院/护士出科）、科室、医生、规则类别等条件，进行临床事中问题审核分析（患者刚入院到出院前），支持图形化、列表方式展示分析结果。支持全院、科室、医生、规则等多视角交叉切换分析，同时支持逐层下钻方式分析。</w:t>
      </w:r>
    </w:p>
    <w:p>
      <w:pPr>
        <w:pStyle w:val="8"/>
        <w:numPr>
          <w:ilvl w:val="0"/>
          <w:numId w:val="1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按照医院合规问题的分类进行统计疑似问题、经审核确定是问题的数量进行问题占比分析；并提供按照审核问题的多少进行科室排名分析。支持图形化、列表方式展示分析结果。支持全院、科室、医生、规则、险种类别等多视角交叉切换分析。</w:t>
      </w:r>
    </w:p>
    <w:p>
      <w:pPr>
        <w:pStyle w:val="8"/>
        <w:numPr>
          <w:ilvl w:val="0"/>
          <w:numId w:val="1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支持合规审核工作量的统计功能，可按审核日期范围、统计口径（门诊/住院、出院）科室、规则类别等条件，直观的展示各审核人员的工作量情况。</w:t>
      </w:r>
    </w:p>
    <w:p>
      <w:pPr>
        <w:pStyle w:val="4"/>
        <w:numPr>
          <w:ilvl w:val="1"/>
          <w:numId w:val="4"/>
        </w:numPr>
        <w:adjustRightInd w:val="0"/>
        <w:spacing w:line="360" w:lineRule="auto"/>
        <w:ind w:left="0" w:firstLine="0"/>
        <w:jc w:val="left"/>
        <w:textAlignment w:val="baseline"/>
        <w:outlineLvl w:val="2"/>
        <w:rPr>
          <w:rFonts w:hint="eastAsia" w:ascii="黑体" w:hAnsi="黑体" w:eastAsia="黑体"/>
          <w:color w:val="000000" w:themeColor="text1"/>
          <w:sz w:val="24"/>
          <w:szCs w:val="16"/>
          <w14:textFill>
            <w14:solidFill>
              <w14:schemeClr w14:val="tx1"/>
            </w14:solidFill>
          </w14:textFill>
        </w:rPr>
      </w:pPr>
      <w:bookmarkStart w:id="0" w:name="_Hlk155181021"/>
      <w:bookmarkStart w:id="1" w:name="_Hlk154483336"/>
      <w:bookmarkStart w:id="2" w:name="_Hlk153750696"/>
      <w:r>
        <w:rPr>
          <w:rFonts w:hint="eastAsia" w:ascii="黑体" w:hAnsi="黑体" w:eastAsia="黑体"/>
          <w:color w:val="000000" w:themeColor="text1"/>
          <w:sz w:val="24"/>
          <w:szCs w:val="16"/>
          <w14:textFill>
            <w14:solidFill>
              <w14:schemeClr w14:val="tx1"/>
            </w14:solidFill>
          </w14:textFill>
        </w:rPr>
        <w:t>飞检常态化管理模块</w:t>
      </w:r>
    </w:p>
    <w:bookmarkEnd w:id="0"/>
    <w:bookmarkEnd w:id="1"/>
    <w:bookmarkEnd w:id="2"/>
    <w:p>
      <w:pPr>
        <w:pStyle w:val="8"/>
        <w:numPr>
          <w:ilvl w:val="0"/>
          <w:numId w:val="14"/>
        </w:numPr>
        <w:spacing w:line="360" w:lineRule="auto"/>
        <w:rPr>
          <w:rFonts w:hint="eastAsia" w:ascii="黑体" w:hAnsi="黑体" w:eastAsia="黑体"/>
          <w:color w:val="000000" w:themeColor="text1"/>
          <w14:textFill>
            <w14:solidFill>
              <w14:schemeClr w14:val="tx1"/>
            </w14:solidFill>
          </w14:textFill>
        </w:rPr>
      </w:pPr>
      <w:bookmarkStart w:id="3" w:name="_Hlk136970091"/>
      <w:r>
        <w:rPr>
          <w:rFonts w:hint="eastAsia" w:ascii="黑体" w:hAnsi="黑体" w:eastAsia="黑体"/>
          <w:color w:val="000000" w:themeColor="text1"/>
          <w14:textFill>
            <w14:solidFill>
              <w14:schemeClr w14:val="tx1"/>
            </w14:solidFill>
          </w14:textFill>
        </w:rPr>
        <w:t>飞检任务支持发起飞检任务，可选择不同时间、机构及数据时间范围、险种。提供任务管理，可查看任务执行状态、疑似违规金额、违规待取证金额、待确认金额、违规金额、医院认可金额、认可金额占比等信息。任务支持编辑、作废、删除、查看疑点问题。</w:t>
      </w:r>
    </w:p>
    <w:p>
      <w:pPr>
        <w:pStyle w:val="8"/>
        <w:numPr>
          <w:ilvl w:val="0"/>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疑点问题支持统计总疑似金额、总违规待取证金额、总待确认金额。提供门诊飞检、住院飞检、自定义项目飞检、频次表、病例抽查、药品进销存飞检、物资进销存飞检、设备飞检的问题管理。可查看后台执行规则进度，统计疑似金额、违规核对、待确认金额。可针对飞检出的问题进行审核，审核支持违规待核对、忽略或待确认。</w:t>
      </w:r>
    </w:p>
    <w:p>
      <w:pPr>
        <w:pStyle w:val="8"/>
        <w:numPr>
          <w:ilvl w:val="0"/>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飞检问题分析</w:t>
      </w:r>
      <w:bookmarkStart w:id="4" w:name="_Toc126757688"/>
      <w:bookmarkEnd w:id="4"/>
      <w:bookmarkStart w:id="5" w:name="_Toc138600041"/>
      <w:bookmarkEnd w:id="5"/>
      <w:bookmarkStart w:id="6" w:name="_Toc29444"/>
      <w:bookmarkEnd w:id="6"/>
      <w:r>
        <w:rPr>
          <w:rFonts w:hint="eastAsia" w:ascii="黑体" w:hAnsi="黑体" w:eastAsia="黑体"/>
          <w:color w:val="000000" w:themeColor="text1"/>
          <w14:textFill>
            <w14:solidFill>
              <w14:schemeClr w14:val="tx1"/>
            </w14:solidFill>
          </w14:textFill>
        </w:rPr>
        <w:t>提供违规问题、违规数量、违规金额、违规金额占比、问题类别占比的图表展示，支持下钻。支持科室、医师、问题、违规明细等多维度多视角分析。分析结果支持导出。</w:t>
      </w:r>
    </w:p>
    <w:p>
      <w:pPr>
        <w:pStyle w:val="8"/>
        <w:numPr>
          <w:ilvl w:val="0"/>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专项任务规则针对医保局下发的问题清单，系统进行精准问题清单解析，形成专项任务规则包。</w:t>
      </w:r>
    </w:p>
    <w:p>
      <w:pPr>
        <w:pStyle w:val="8"/>
        <w:numPr>
          <w:ilvl w:val="0"/>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专项检查支持根据负面清单或专项检查要求，发起专项检查任务，提供检查次数、涉及人次、违规数量、违规金额的统计。可分配答辩，查看反馈表，支持反馈表导出汇总。</w:t>
      </w:r>
    </w:p>
    <w:p>
      <w:pPr>
        <w:pStyle w:val="8"/>
        <w:numPr>
          <w:ilvl w:val="0"/>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专项检查问题分析提供违规问题、违规数量、违规金额、违规金额占比、问题类别占比的图表展示，支持下钻。</w:t>
      </w:r>
    </w:p>
    <w:p>
      <w:pPr>
        <w:pStyle w:val="8"/>
        <w:numPr>
          <w:ilvl w:val="0"/>
          <w:numId w:val="14"/>
        </w:numPr>
        <w:spacing w:line="360" w:lineRule="auto"/>
        <w:rPr>
          <w:rFonts w:hint="eastAsia" w:ascii="黑体" w:hAnsi="黑体" w:eastAsia="黑体"/>
          <w:color w:val="000000" w:themeColor="text1"/>
          <w14:textFill>
            <w14:solidFill>
              <w14:schemeClr w14:val="tx1"/>
            </w14:solidFill>
          </w14:textFill>
        </w:rPr>
      </w:pPr>
      <w:bookmarkStart w:id="7" w:name="_Toc126757673"/>
      <w:bookmarkEnd w:id="7"/>
      <w:bookmarkStart w:id="8" w:name="_Toc140847816"/>
      <w:bookmarkEnd w:id="8"/>
      <w:bookmarkStart w:id="9" w:name="_Toc22464"/>
      <w:bookmarkEnd w:id="9"/>
      <w:bookmarkStart w:id="10" w:name="_Toc126757675"/>
      <w:bookmarkEnd w:id="10"/>
      <w:bookmarkStart w:id="11" w:name="_Toc198891028"/>
      <w:r>
        <w:rPr>
          <w:rFonts w:hint="eastAsia" w:ascii="黑体" w:hAnsi="黑体" w:eastAsia="黑体"/>
          <w:color w:val="000000" w:themeColor="text1"/>
          <w14:textFill>
            <w14:solidFill>
              <w14:schemeClr w14:val="tx1"/>
            </w14:solidFill>
          </w14:textFill>
        </w:rPr>
        <w:t>医保数据核查</w:t>
      </w:r>
      <w:bookmarkEnd w:id="11"/>
      <w:r>
        <w:rPr>
          <w:rFonts w:hint="eastAsia" w:ascii="黑体" w:hAnsi="黑体" w:eastAsia="黑体"/>
          <w:color w:val="000000" w:themeColor="text1"/>
          <w14:textFill>
            <w14:solidFill>
              <w14:schemeClr w14:val="tx1"/>
            </w14:solidFill>
          </w14:textFill>
        </w:rPr>
        <w:t>可支持</w:t>
      </w:r>
      <w:bookmarkStart w:id="12" w:name="_Toc126757689"/>
      <w:bookmarkEnd w:id="12"/>
      <w:r>
        <w:rPr>
          <w:rFonts w:hint="eastAsia" w:ascii="黑体" w:hAnsi="黑体" w:eastAsia="黑体"/>
          <w:color w:val="000000" w:themeColor="text1"/>
          <w14:textFill>
            <w14:solidFill>
              <w14:schemeClr w14:val="tx1"/>
            </w14:solidFill>
          </w14:textFill>
        </w:rPr>
        <w:t>创建匹配任务，将医保局下发的疑似违规数据导入系统，可查看导入文件数、总记录数、匹配任务匹配进度等信息。</w:t>
      </w:r>
    </w:p>
    <w:p>
      <w:pPr>
        <w:pStyle w:val="8"/>
        <w:numPr>
          <w:ilvl w:val="0"/>
          <w:numId w:val="14"/>
        </w:numPr>
        <w:spacing w:line="360" w:lineRule="auto"/>
        <w:rPr>
          <w:rFonts w:hint="eastAsia" w:ascii="黑体" w:hAnsi="黑体" w:eastAsia="黑体"/>
          <w:color w:val="000000" w:themeColor="text1"/>
          <w14:textFill>
            <w14:solidFill>
              <w14:schemeClr w14:val="tx1"/>
            </w14:solidFill>
          </w14:textFill>
        </w:rPr>
      </w:pPr>
      <w:bookmarkStart w:id="13" w:name="_Toc126757690"/>
      <w:bookmarkEnd w:id="13"/>
      <w:r>
        <w:rPr>
          <w:rFonts w:hint="eastAsia" w:ascii="黑体" w:hAnsi="黑体" w:eastAsia="黑体"/>
          <w:color w:val="000000" w:themeColor="text1"/>
          <w14:textFill>
            <w14:solidFill>
              <w14:schemeClr w14:val="tx1"/>
            </w14:solidFill>
          </w14:textFill>
        </w:rPr>
        <w:t>申诉任务分配可将匹配好的疑似问题清单下发给科室医生，分配答辩可按住院科室、主治医生分配或按计费科室、开单医生分配。</w:t>
      </w:r>
      <w:bookmarkStart w:id="14" w:name="_Toc126757691"/>
      <w:bookmarkEnd w:id="14"/>
    </w:p>
    <w:p>
      <w:pPr>
        <w:pStyle w:val="8"/>
        <w:numPr>
          <w:ilvl w:val="0"/>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违规数据医师答辩可支持通过完成情况、答辩状态筛选，支持批量采纳操作。答辩时可查看患者基本信息、费用清单、病历、医嘱、化验单、检查单。支持申诉理由及附件管理，申诉理由支持上传图片。</w:t>
      </w:r>
    </w:p>
    <w:p>
      <w:pPr>
        <w:pStyle w:val="8"/>
        <w:numPr>
          <w:ilvl w:val="0"/>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违规数据答辩审核，可依据科室、完成情况、审核状态筛选，支持批量确认检查内容、违规金额、确认金额、答辩情况进行逐条信息进行审核。</w:t>
      </w:r>
    </w:p>
    <w:p>
      <w:pPr>
        <w:pStyle w:val="8"/>
        <w:numPr>
          <w:ilvl w:val="0"/>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违规数据问题分析可提供违规问题、违规数量、违规金额、违规金额占比、问题类别占比的图表展示，支持下钻。</w:t>
      </w:r>
    </w:p>
    <w:p>
      <w:pPr>
        <w:pStyle w:val="4"/>
        <w:numPr>
          <w:ilvl w:val="1"/>
          <w:numId w:val="4"/>
        </w:numPr>
        <w:adjustRightInd w:val="0"/>
        <w:spacing w:line="360" w:lineRule="auto"/>
        <w:ind w:left="0" w:firstLine="0"/>
        <w:jc w:val="left"/>
        <w:textAlignment w:val="baseline"/>
        <w:outlineLvl w:val="2"/>
        <w:rPr>
          <w:rFonts w:hint="eastAsia" w:ascii="黑体" w:hAnsi="黑体" w:eastAsia="黑体"/>
          <w:color w:val="000000" w:themeColor="text1"/>
          <w:sz w:val="24"/>
          <w:szCs w:val="16"/>
          <w14:textFill>
            <w14:solidFill>
              <w14:schemeClr w14:val="tx1"/>
            </w14:solidFill>
          </w14:textFill>
        </w:rPr>
      </w:pPr>
      <w:bookmarkStart w:id="15" w:name="_Toc127012148"/>
      <w:bookmarkEnd w:id="15"/>
      <w:bookmarkStart w:id="16" w:name="_Toc3424"/>
      <w:bookmarkEnd w:id="16"/>
      <w:r>
        <w:rPr>
          <w:rFonts w:hint="eastAsia" w:ascii="黑体" w:hAnsi="黑体" w:eastAsia="黑体"/>
          <w:color w:val="000000" w:themeColor="text1"/>
          <w:sz w:val="24"/>
          <w:szCs w:val="16"/>
          <w14:textFill>
            <w14:solidFill>
              <w14:schemeClr w14:val="tx1"/>
            </w14:solidFill>
          </w14:textFill>
        </w:rPr>
        <w:t>医保规则库</w:t>
      </w:r>
    </w:p>
    <w:p>
      <w:pPr>
        <w:pStyle w:val="2"/>
        <w:numPr>
          <w:ilvl w:val="0"/>
          <w:numId w:val="15"/>
        </w:numPr>
        <w:rPr>
          <w:rFonts w:hint="eastAsia" w:ascii="黑体" w:hAnsi="黑体" w:eastAsia="黑体"/>
          <w:color w:val="000000" w:themeColor="text1"/>
          <w:sz w:val="24"/>
          <w:szCs w:val="24"/>
          <w14:textFill>
            <w14:solidFill>
              <w14:schemeClr w14:val="tx1"/>
            </w14:solidFill>
          </w14:textFill>
        </w:rPr>
      </w:pPr>
      <w:bookmarkStart w:id="17" w:name="_Toc59732351"/>
      <w:bookmarkStart w:id="18" w:name="_Toc56609028"/>
      <w:bookmarkStart w:id="19" w:name="_Toc59732231"/>
      <w:r>
        <w:rPr>
          <w:rFonts w:hint="eastAsia" w:ascii="黑体" w:hAnsi="黑体" w:eastAsia="黑体"/>
          <w:color w:val="000000" w:themeColor="text1"/>
          <w:sz w:val="24"/>
          <w:szCs w:val="24"/>
          <w14:textFill>
            <w14:solidFill>
              <w14:schemeClr w14:val="tx1"/>
            </w14:solidFill>
          </w14:textFill>
        </w:rPr>
        <w:t>临床规则库</w:t>
      </w:r>
      <w:bookmarkEnd w:id="17"/>
      <w:bookmarkEnd w:id="18"/>
      <w:bookmarkEnd w:id="19"/>
    </w:p>
    <w:p>
      <w:pPr>
        <w:spacing w:line="360" w:lineRule="auto"/>
        <w:ind w:left="289"/>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 xml:space="preserve">提供临床知识库：包括医保适应症、药品说明书、抗菌药使用规范合理性、临床路径、诊疗指南、检验项目知识等知识库。 </w:t>
      </w:r>
    </w:p>
    <w:p>
      <w:pPr>
        <w:spacing w:line="360" w:lineRule="auto"/>
        <w:ind w:left="289"/>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疾病知识库是一个面向医学专业人员的知识仓库，满足临床医师的疾病知识查询需求，满足临床工作中快速地查找、全面地掌握繁杂的疾病、药物、检查信息等需求。提供各类专科系统疾病信息7700余种，知识库包括：疾病名、缩写、别名、ICD 疾病代码、概述、流行病学、病因、发病机制、临床表现、并发症、实验室检查、其他辅助检查、诊断、鉴别诊断、治疗、预防、预后等内容。</w:t>
      </w:r>
    </w:p>
    <w:p>
      <w:pPr>
        <w:pStyle w:val="8"/>
        <w:numPr>
          <w:ilvl w:val="1"/>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药学知识库包含我院药品说明书，包括药品名称、英文名、别名、剂型、药理作用、药动学、适应证、禁忌证、注意事项、不良反应、用法用量、药物相互作用、相关文献资料等内容。</w:t>
      </w:r>
    </w:p>
    <w:p>
      <w:pPr>
        <w:pStyle w:val="8"/>
        <w:numPr>
          <w:ilvl w:val="1"/>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检验知识库包含2000余条化验项目信息，内容检验项目的名称、缩写、正常值、临床意义、禁忌症、标本信息、操作方法等内容。</w:t>
      </w:r>
    </w:p>
    <w:p>
      <w:pPr>
        <w:pStyle w:val="8"/>
        <w:numPr>
          <w:ilvl w:val="1"/>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检查知识库提供各类检查项目信息，每一种检查项目涉及名称、缩写、临床意义等内容。</w:t>
      </w:r>
    </w:p>
    <w:p>
      <w:pPr>
        <w:pStyle w:val="8"/>
        <w:numPr>
          <w:ilvl w:val="1"/>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提供呼吸系统、免疫系统、肾脏系统等不同人体系统的医学公式，还可按照创伤外科、妇产科、肾脏病学等不同专业的医学公式计算器，包含各个医学类型，方便不同科室查询计算。医学工具主要是为用户提供更快捷的计算方式，提高临床诊疗过程中计算方面的工作效率，减轻用户工作负担的。</w:t>
      </w:r>
    </w:p>
    <w:p>
      <w:pPr>
        <w:pStyle w:val="8"/>
        <w:numPr>
          <w:ilvl w:val="1"/>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系统提供ICD10的疾病和手术编码字典库供医生查询，并支持国家临床版、北京临床版、国标版等不同版本。</w:t>
      </w:r>
    </w:p>
    <w:p>
      <w:pPr>
        <w:pStyle w:val="8"/>
        <w:numPr>
          <w:ilvl w:val="1"/>
          <w:numId w:val="14"/>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系统提供国家卫健委发布的1212个病种的临床路径知识库功能。并支持进入临床路径患者的路径知识智能提醒，供卫生计生行政部门和医疗机构参考使用。</w:t>
      </w:r>
    </w:p>
    <w:p>
      <w:pPr>
        <w:pStyle w:val="2"/>
        <w:numPr>
          <w:ilvl w:val="0"/>
          <w:numId w:val="15"/>
        </w:numPr>
        <w:rPr>
          <w:rFonts w:hint="eastAsia" w:ascii="黑体" w:hAnsi="黑体" w:eastAsia="黑体"/>
          <w:color w:val="000000" w:themeColor="text1"/>
          <w:sz w:val="24"/>
          <w:szCs w:val="24"/>
          <w14:textFill>
            <w14:solidFill>
              <w14:schemeClr w14:val="tx1"/>
            </w14:solidFill>
          </w14:textFill>
        </w:rPr>
      </w:pPr>
      <w:bookmarkStart w:id="20" w:name="_Toc59732352"/>
      <w:bookmarkStart w:id="21" w:name="_Toc59732232"/>
      <w:bookmarkStart w:id="22" w:name="_Toc56609029"/>
      <w:r>
        <w:rPr>
          <w:rFonts w:hint="eastAsia" w:ascii="黑体" w:hAnsi="黑体" w:eastAsia="黑体"/>
          <w:color w:val="000000" w:themeColor="text1"/>
          <w:sz w:val="24"/>
          <w:szCs w:val="24"/>
          <w14:textFill>
            <w14:solidFill>
              <w14:schemeClr w14:val="tx1"/>
            </w14:solidFill>
          </w14:textFill>
        </w:rPr>
        <w:t>医保规则库</w:t>
      </w:r>
      <w:bookmarkEnd w:id="20"/>
      <w:bookmarkEnd w:id="21"/>
      <w:bookmarkEnd w:id="22"/>
    </w:p>
    <w:p>
      <w:pPr>
        <w:spacing w:line="360" w:lineRule="auto"/>
        <w:ind w:left="289"/>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提供医保规则库：包括重复用药、当日限价、性别限制、用法判断、排斥项目、医保适应症、说明书适应症、频次判断、用法用量判断、疗程限制、抗生素判断、科室限用、特殊人群、费用数量限制等规则。</w:t>
      </w:r>
    </w:p>
    <w:p>
      <w:pPr>
        <w:pStyle w:val="2"/>
        <w:numPr>
          <w:ilvl w:val="0"/>
          <w:numId w:val="15"/>
        </w:numPr>
        <w:rPr>
          <w:rFonts w:hint="eastAsia" w:ascii="黑体" w:hAnsi="黑体" w:eastAsia="黑体"/>
          <w:color w:val="000000" w:themeColor="text1"/>
          <w:sz w:val="24"/>
          <w:szCs w:val="24"/>
          <w14:textFill>
            <w14:solidFill>
              <w14:schemeClr w14:val="tx1"/>
            </w14:solidFill>
          </w14:textFill>
        </w:rPr>
      </w:pPr>
      <w:bookmarkStart w:id="23" w:name="_Toc59732233"/>
      <w:bookmarkStart w:id="24" w:name="_Toc59732353"/>
      <w:bookmarkStart w:id="25" w:name="_Toc56609030"/>
      <w:r>
        <w:rPr>
          <w:rFonts w:hint="eastAsia" w:ascii="黑体" w:hAnsi="黑体" w:eastAsia="黑体"/>
          <w:color w:val="000000" w:themeColor="text1"/>
          <w:sz w:val="24"/>
          <w:szCs w:val="24"/>
          <w14:textFill>
            <w14:solidFill>
              <w14:schemeClr w14:val="tx1"/>
            </w14:solidFill>
          </w14:textFill>
        </w:rPr>
        <w:t>控费规则库</w:t>
      </w:r>
      <w:bookmarkEnd w:id="23"/>
      <w:bookmarkEnd w:id="24"/>
      <w:bookmarkEnd w:id="25"/>
    </w:p>
    <w:p>
      <w:pPr>
        <w:spacing w:line="360" w:lineRule="auto"/>
        <w:ind w:left="289"/>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根据医保政策以及医疗规范要求，以药品规则知识库、诊疗规则知识库和政策规则知识，对门诊处方、检查单、处置单、住院患者的费用、医嘱信息、检查化验信息等进行自动化审查；包含如下规则：</w:t>
      </w:r>
    </w:p>
    <w:tbl>
      <w:tblPr>
        <w:tblStyle w:val="5"/>
        <w:tblW w:w="7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984"/>
        <w:gridCol w:w="4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序号</w:t>
            </w: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规则名称</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规则描述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医院级别限用</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对限定医院级别药品、诊疗进行限制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限定医院使用</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对限定医院的药品、诊疗的限制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按年龄限制</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按年龄、医保类型，对药品、诊疗控制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按险种限制</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按险种类型，对药品、诊疗进行控制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适应症提醒</w:t>
            </w:r>
          </w:p>
        </w:tc>
        <w:tc>
          <w:tcPr>
            <w:tcW w:w="4957" w:type="dxa"/>
            <w:tcBorders>
              <w:top w:val="single" w:color="auto" w:sz="4" w:space="0"/>
              <w:left w:val="single" w:color="auto" w:sz="4" w:space="0"/>
              <w:bottom w:val="single" w:color="auto" w:sz="4" w:space="0"/>
              <w:right w:val="single" w:color="auto" w:sz="4" w:space="0"/>
            </w:tcBorders>
            <w:vAlign w:val="center"/>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药品项目，对医保类型进行提醒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按性别限制</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按性别对药品项目、诊疗项目的控制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限制科室使用</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按科室对药品项目、诊疗项目的控制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疗程天数控制</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对药品的疗程进行限制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疗程用量控制</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对药品的疗程，每天用量进行监控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给药途径控制</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对给药途径的监控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重复用药限制</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根据设置的监控值，对重复用药的限制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化验组套重复</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对于开化验组套中重复的项目进行监控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中药保健方提示</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根据设置的监控值，对中药处方中有明显问题的处方进行提醒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用药天数限制</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对药品天数控制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提前取药</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判断是否该药品剩余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诊断关键字限制</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对于孕检，外伤等不予报销的疾病，进行限制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联合项目</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针对两个或N个项目必须同时收取的监控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排斥项目</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不同项目在一定时期内不能同时收取的监控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诊断限制</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对体检、或者孕期等诊断进行监控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贵重材料提示</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对贵重材料使用的提示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出院带药天数</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对出院带药的用药天数的限制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出院带药剂型</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对出院带药药品剂型的限制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首次住院收取项目</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对首次住院的患者，需要收取的项目，例如病例建档费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医嘱数量限制项目</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针对某些医嘱在一段期间内进行数量的限制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住院天数与数量关联</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对与住院天数相关的费用，进行监控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医嘱与费用不符</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对医嘱与费用数量不相符的数据进行提醒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限手术中使用</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对手术中使用的药品项目、诊疗项目、材料项目的控制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说明书适应症</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说明书的药品适应症，可根据医院需求，设置针对某些药品启用该规则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numPr>
                <w:ilvl w:val="0"/>
                <w:numId w:val="16"/>
              </w:numPr>
              <w:ind w:firstLineChars="0"/>
              <w:rPr>
                <w:rFonts w:hint="eastAsia" w:ascii="黑体" w:hAnsi="黑体" w:eastAsia="黑体"/>
                <w:color w:val="000000" w:themeColor="text1"/>
                <w:sz w:val="22"/>
                <w:szCs w:val="22"/>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自费协议书</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对于需要签自费协议书的项目进行提醒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pStyle w:val="7"/>
              <w:ind w:firstLine="0" w:firstLineChars="0"/>
              <w:jc w:val="left"/>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s="宋体"/>
                <w:color w:val="000000" w:themeColor="text1"/>
                <w:sz w:val="22"/>
                <w:szCs w:val="22"/>
                <w14:textFill>
                  <w14:solidFill>
                    <w14:schemeClr w14:val="tx1"/>
                  </w14:solidFill>
                </w14:textFill>
              </w:rPr>
              <w:t>……</w:t>
            </w:r>
          </w:p>
        </w:tc>
        <w:tc>
          <w:tcPr>
            <w:tcW w:w="1984"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w:t>
            </w:r>
          </w:p>
        </w:tc>
        <w:tc>
          <w:tcPr>
            <w:tcW w:w="4957"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color w:val="000000" w:themeColor="text1"/>
                <w:sz w:val="22"/>
                <w:szCs w:val="22"/>
                <w14:textFill>
                  <w14:solidFill>
                    <w14:schemeClr w14:val="tx1"/>
                  </w14:solidFill>
                </w14:textFill>
              </w:rPr>
            </w:pPr>
            <w:r>
              <w:rPr>
                <w:rFonts w:hint="eastAsia" w:ascii="黑体" w:hAnsi="黑体" w:eastAsia="黑体"/>
                <w:color w:val="000000" w:themeColor="text1"/>
                <w:sz w:val="22"/>
                <w:szCs w:val="22"/>
                <w14:textFill>
                  <w14:solidFill>
                    <w14:schemeClr w14:val="tx1"/>
                  </w14:solidFill>
                </w14:textFill>
              </w:rPr>
              <w:t>……</w:t>
            </w:r>
          </w:p>
        </w:tc>
      </w:tr>
      <w:bookmarkEnd w:id="3"/>
    </w:tbl>
    <w:p>
      <w:pPr>
        <w:pStyle w:val="8"/>
        <w:numPr>
          <w:ilvl w:val="0"/>
          <w:numId w:val="0"/>
        </w:numPr>
        <w:spacing w:line="360" w:lineRule="auto"/>
        <w:ind w:leftChars="0"/>
        <w:rPr>
          <w:rFonts w:hint="eastAsia" w:ascii="黑体" w:hAnsi="黑体" w:eastAsia="黑体"/>
          <w:color w:val="000000" w:themeColor="text1"/>
          <w14:textFill>
            <w14:solidFill>
              <w14:schemeClr w14:val="tx1"/>
            </w14:solidFill>
          </w14:textFill>
        </w:rPr>
      </w:pPr>
    </w:p>
    <w:p/>
    <w:sectPr>
      <w:footerReference r:id="rId3" w:type="default"/>
      <w:pgSz w:w="11906" w:h="16838"/>
      <w:pgMar w:top="1418" w:right="1134" w:bottom="1418" w:left="1418" w:header="851" w:footer="851" w:gutter="0"/>
      <w:pgNumType w:start="1"/>
      <w:cols w:space="425" w:num="1"/>
      <w:docGrid w:linePitch="388" w:charSpace="-12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4752455"/>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450E6"/>
    <w:multiLevelType w:val="multilevel"/>
    <w:tmpl w:val="01D450E6"/>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60E7A63"/>
    <w:multiLevelType w:val="multilevel"/>
    <w:tmpl w:val="060E7A63"/>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E0C2005"/>
    <w:multiLevelType w:val="multilevel"/>
    <w:tmpl w:val="0E0C200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1540094"/>
    <w:multiLevelType w:val="multilevel"/>
    <w:tmpl w:val="1154009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AD67D64"/>
    <w:multiLevelType w:val="multilevel"/>
    <w:tmpl w:val="2AD67D6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2F9A5F2B"/>
    <w:multiLevelType w:val="multilevel"/>
    <w:tmpl w:val="2F9A5F2B"/>
    <w:lvl w:ilvl="0" w:tentative="0">
      <w:start w:val="1"/>
      <w:numFmt w:val="chineseCountingThousand"/>
      <w:lvlText w:val="%1."/>
      <w:lvlJc w:val="left"/>
      <w:pPr>
        <w:ind w:left="928" w:hanging="360"/>
      </w:pPr>
      <w:rPr>
        <w:rFonts w:hint="eastAsia"/>
      </w:rPr>
    </w:lvl>
    <w:lvl w:ilvl="1" w:tentative="0">
      <w:start w:val="1"/>
      <w:numFmt w:val="decimal"/>
      <w:lvlText w:val="%2."/>
      <w:lvlJc w:val="left"/>
      <w:pPr>
        <w:ind w:left="440" w:hanging="440"/>
      </w:p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31607F05"/>
    <w:multiLevelType w:val="multilevel"/>
    <w:tmpl w:val="31607F0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8C05077"/>
    <w:multiLevelType w:val="multilevel"/>
    <w:tmpl w:val="38C05077"/>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58D36976"/>
    <w:multiLevelType w:val="multilevel"/>
    <w:tmpl w:val="58D36976"/>
    <w:lvl w:ilvl="0" w:tentative="0">
      <w:start w:val="1"/>
      <w:numFmt w:val="chineseCountingThousand"/>
      <w:lvlText w:val="%1."/>
      <w:lvlJc w:val="left"/>
      <w:pPr>
        <w:ind w:left="928" w:hanging="360"/>
      </w:pPr>
      <w:rPr>
        <w:rFonts w:hint="eastAsia"/>
      </w:rPr>
    </w:lvl>
    <w:lvl w:ilvl="1" w:tentative="0">
      <w:start w:val="1"/>
      <w:numFmt w:val="chineseCountingThousand"/>
      <w:lvlText w:val="(%2)"/>
      <w:lvlJc w:val="left"/>
      <w:pPr>
        <w:ind w:left="1291" w:hanging="440"/>
      </w:p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597368E3"/>
    <w:multiLevelType w:val="multilevel"/>
    <w:tmpl w:val="597368E3"/>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A594B2C"/>
    <w:multiLevelType w:val="multilevel"/>
    <w:tmpl w:val="5A594B2C"/>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1276BAD"/>
    <w:multiLevelType w:val="multilevel"/>
    <w:tmpl w:val="61276BA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4D46615"/>
    <w:multiLevelType w:val="multilevel"/>
    <w:tmpl w:val="64D4661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6B15EC8"/>
    <w:multiLevelType w:val="multilevel"/>
    <w:tmpl w:val="66B15EC8"/>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536623E"/>
    <w:multiLevelType w:val="multilevel"/>
    <w:tmpl w:val="7536623E"/>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EC5168D"/>
    <w:multiLevelType w:val="multilevel"/>
    <w:tmpl w:val="7EC5168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7"/>
  </w:num>
  <w:num w:numId="3">
    <w:abstractNumId w:val="9"/>
  </w:num>
  <w:num w:numId="4">
    <w:abstractNumId w:val="5"/>
  </w:num>
  <w:num w:numId="5">
    <w:abstractNumId w:val="10"/>
  </w:num>
  <w:num w:numId="6">
    <w:abstractNumId w:val="1"/>
  </w:num>
  <w:num w:numId="7">
    <w:abstractNumId w:val="14"/>
    <w:lvlOverride w:ilvl="0">
      <w:startOverride w:val="1"/>
    </w:lvlOverride>
  </w:num>
  <w:num w:numId="8">
    <w:abstractNumId w:val="12"/>
  </w:num>
  <w:num w:numId="9">
    <w:abstractNumId w:val="11"/>
    <w:lvlOverride w:ilvl="0">
      <w:startOverride w:val="1"/>
    </w:lvlOverride>
  </w:num>
  <w:num w:numId="10">
    <w:abstractNumId w:val="2"/>
  </w:num>
  <w:num w:numId="11">
    <w:abstractNumId w:val="15"/>
  </w:num>
  <w:num w:numId="12">
    <w:abstractNumId w:val="13"/>
  </w:num>
  <w:num w:numId="13">
    <w:abstractNumId w:val="6"/>
  </w:num>
  <w:num w:numId="14">
    <w:abstractNumId w:val="0"/>
  </w:num>
  <w:num w:numId="15">
    <w:abstractNumId w:val="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02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4"/>
      <w:szCs w:val="24"/>
      <w:lang w:val="en-US" w:eastAsia="zh-CN" w:bidi="ar-SA"/>
    </w:rPr>
  </w:style>
  <w:style w:type="paragraph" w:styleId="2">
    <w:name w:val="heading 4"/>
    <w:basedOn w:val="1"/>
    <w:next w:val="1"/>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7">
    <w:name w:val="List Paragraph"/>
    <w:basedOn w:val="1"/>
    <w:qFormat/>
    <w:uiPriority w:val="0"/>
    <w:pPr>
      <w:ind w:firstLine="420" w:firstLineChars="200"/>
    </w:pPr>
    <w:rPr>
      <w:kern w:val="2"/>
      <w:sz w:val="21"/>
    </w:rPr>
  </w:style>
  <w:style w:type="paragraph" w:customStyle="1" w:styleId="8">
    <w:name w:val="样式 10 磅13"/>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2025-07-02T00:04:02Z</dcterms:created>
  <dc:creator>ThinkPad</dc:creator>
  <cp:lastModifiedBy>ThinkPad</cp:lastModifiedBy>
  <dcterms:modified xsi:type="dcterms:W3CDTF">2025-07-02T00:04:53Z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86FA6716F2D049E0ADEF25711E21CC58</vt:lpwstr>
  </property>
</Properties>
</file>