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bCs/>
        </w:rPr>
      </w:pPr>
    </w:p>
    <w:p>
      <w:pPr>
        <w:rPr>
          <w:rFonts w:hint="default" w:eastAsiaTheme="minorEastAsia"/>
          <w:b/>
          <w:bCs/>
          <w:sz w:val="28"/>
          <w:szCs w:val="28"/>
          <w:lang w:val="en-US" w:eastAsia="zh-CN"/>
        </w:rPr>
      </w:pPr>
      <w:r>
        <w:rPr>
          <w:rFonts w:hint="eastAsia"/>
          <w:b/>
          <w:bCs/>
          <w:sz w:val="28"/>
          <w:szCs w:val="28"/>
          <w:lang w:val="en-US" w:eastAsia="zh-CN"/>
        </w:rPr>
        <w:t>电子发票维保服务</w:t>
      </w:r>
    </w:p>
    <w:p>
      <w:pPr>
        <w:rPr>
          <w:rFonts w:hint="eastAsia"/>
          <w:b/>
          <w:bCs/>
        </w:rPr>
      </w:pPr>
      <w:r>
        <w:rPr>
          <w:b/>
          <w:bCs/>
        </w:rPr>
        <w:t>第一部分：医疗电子票据系统运维服务</w:t>
      </w:r>
    </w:p>
    <w:p>
      <w:pPr>
        <w:rPr>
          <w:rFonts w:hint="eastAsia"/>
          <w:b/>
          <w:bCs/>
        </w:rPr>
      </w:pPr>
      <w:r>
        <w:rPr>
          <w:rFonts w:hint="eastAsia"/>
          <w:b/>
          <w:bCs/>
        </w:rPr>
        <w:t>服务内容</w:t>
      </w:r>
    </w:p>
    <w:p>
      <w:pPr>
        <w:rPr>
          <w:rFonts w:hint="eastAsia"/>
          <w:b/>
          <w:bCs/>
        </w:rPr>
      </w:pPr>
      <w:r>
        <w:rPr>
          <w:rFonts w:hint="eastAsia"/>
          <w:b/>
          <w:bCs/>
        </w:rPr>
        <w:t>1.软件运行维护服务：指向甲方提供的以保障软件正常运行的维护服务。</w:t>
      </w:r>
    </w:p>
    <w:p>
      <w:pPr>
        <w:rPr>
          <w:rFonts w:hint="eastAsia"/>
          <w:b/>
          <w:bCs/>
        </w:rPr>
      </w:pPr>
      <w:r>
        <w:rPr>
          <w:rFonts w:hint="eastAsia"/>
          <w:b/>
          <w:bCs/>
        </w:rPr>
        <w:t>2.运行环境适配维护服务：</w:t>
      </w:r>
    </w:p>
    <w:p>
      <w:pPr>
        <w:numPr>
          <w:ilvl w:val="0"/>
          <w:numId w:val="1"/>
        </w:numPr>
        <w:ind w:firstLine="422" w:firstLineChars="200"/>
        <w:rPr>
          <w:rFonts w:hint="eastAsia"/>
          <w:b/>
          <w:bCs/>
        </w:rPr>
      </w:pPr>
      <w:r>
        <w:rPr>
          <w:rFonts w:hint="eastAsia"/>
          <w:b/>
          <w:bCs/>
        </w:rPr>
        <w:t>因主机、打印机适配带来环境调整工作；</w:t>
      </w:r>
    </w:p>
    <w:p>
      <w:pPr>
        <w:numPr>
          <w:ilvl w:val="0"/>
          <w:numId w:val="1"/>
        </w:numPr>
        <w:ind w:firstLine="422" w:firstLineChars="200"/>
        <w:rPr>
          <w:rFonts w:hint="eastAsia"/>
          <w:b/>
          <w:bCs/>
        </w:rPr>
      </w:pPr>
      <w:r>
        <w:rPr>
          <w:rFonts w:hint="eastAsia"/>
          <w:b/>
          <w:bCs/>
        </w:rPr>
        <w:t>因更换主机、打印机等系统数据转移等工作；</w:t>
      </w:r>
    </w:p>
    <w:p>
      <w:pPr>
        <w:numPr>
          <w:ilvl w:val="0"/>
          <w:numId w:val="1"/>
        </w:numPr>
        <w:ind w:firstLine="422" w:firstLineChars="200"/>
        <w:rPr>
          <w:rFonts w:hint="eastAsia"/>
          <w:b/>
          <w:bCs/>
        </w:rPr>
      </w:pPr>
      <w:r>
        <w:rPr>
          <w:rFonts w:hint="eastAsia"/>
          <w:b/>
          <w:bCs/>
        </w:rPr>
        <w:t>因操作系统、各类汉字与该系统适配带来的环境调整工作；</w:t>
      </w:r>
    </w:p>
    <w:p>
      <w:pPr>
        <w:numPr>
          <w:ilvl w:val="0"/>
          <w:numId w:val="1"/>
        </w:numPr>
        <w:ind w:firstLine="422" w:firstLineChars="200"/>
        <w:rPr>
          <w:rFonts w:hint="eastAsia"/>
          <w:b/>
          <w:bCs/>
        </w:rPr>
      </w:pPr>
      <w:r>
        <w:rPr>
          <w:rFonts w:hint="eastAsia"/>
          <w:b/>
          <w:bCs/>
        </w:rPr>
        <w:t>因用户机器感染病毒带来的维护工作。</w:t>
      </w:r>
    </w:p>
    <w:p>
      <w:pPr>
        <w:rPr>
          <w:rFonts w:hint="eastAsia"/>
          <w:b/>
          <w:bCs/>
        </w:rPr>
      </w:pPr>
      <w:r>
        <w:rPr>
          <w:rFonts w:hint="eastAsia"/>
          <w:b/>
          <w:bCs/>
        </w:rPr>
        <w:t>3. 软件数据维护服务：</w:t>
      </w:r>
      <w:bookmarkStart w:id="0" w:name="_GoBack"/>
      <w:bookmarkEnd w:id="0"/>
    </w:p>
    <w:p>
      <w:pPr>
        <w:numPr>
          <w:ilvl w:val="0"/>
          <w:numId w:val="2"/>
        </w:numPr>
        <w:ind w:firstLine="422" w:firstLineChars="200"/>
        <w:rPr>
          <w:rFonts w:hint="eastAsia"/>
          <w:b/>
          <w:bCs/>
        </w:rPr>
      </w:pPr>
      <w:r>
        <w:rPr>
          <w:rFonts w:hint="eastAsia"/>
          <w:b/>
          <w:bCs/>
        </w:rPr>
        <w:t>因用户非正常操作引起部分数据错误、丢失或带来的调整工作；</w:t>
      </w:r>
    </w:p>
    <w:p>
      <w:pPr>
        <w:numPr>
          <w:ilvl w:val="0"/>
          <w:numId w:val="2"/>
        </w:numPr>
        <w:ind w:firstLine="422" w:firstLineChars="200"/>
        <w:rPr>
          <w:rFonts w:hint="eastAsia"/>
          <w:b/>
          <w:bCs/>
        </w:rPr>
      </w:pPr>
      <w:r>
        <w:rPr>
          <w:rFonts w:hint="eastAsia"/>
          <w:b/>
          <w:bCs/>
        </w:rPr>
        <w:t>其他原因导致数据丢失或错误，带来的数据调整工作。</w:t>
      </w:r>
    </w:p>
    <w:p>
      <w:pPr>
        <w:rPr>
          <w:rFonts w:hint="eastAsia"/>
          <w:b/>
          <w:bCs/>
        </w:rPr>
      </w:pPr>
      <w:r>
        <w:rPr>
          <w:rFonts w:hint="eastAsia"/>
          <w:b/>
          <w:bCs/>
        </w:rPr>
        <w:t>4. 软件升级和使用咨询服务：</w:t>
      </w:r>
    </w:p>
    <w:p>
      <w:pPr>
        <w:numPr>
          <w:ilvl w:val="0"/>
          <w:numId w:val="3"/>
        </w:numPr>
        <w:ind w:firstLine="422" w:firstLineChars="200"/>
        <w:rPr>
          <w:rFonts w:hint="eastAsia"/>
          <w:b/>
          <w:bCs/>
        </w:rPr>
      </w:pPr>
      <w:r>
        <w:rPr>
          <w:rFonts w:hint="eastAsia"/>
          <w:b/>
          <w:bCs/>
        </w:rPr>
        <w:t>软件的定期升级；</w:t>
      </w:r>
    </w:p>
    <w:p>
      <w:pPr>
        <w:numPr>
          <w:ilvl w:val="0"/>
          <w:numId w:val="3"/>
        </w:numPr>
        <w:ind w:firstLine="422" w:firstLineChars="200"/>
        <w:rPr>
          <w:rFonts w:hint="eastAsia"/>
          <w:b/>
          <w:bCs/>
        </w:rPr>
      </w:pPr>
      <w:r>
        <w:rPr>
          <w:rFonts w:hint="eastAsia"/>
          <w:b/>
          <w:bCs/>
        </w:rPr>
        <w:t>定期电话回访，及时掌握甲方软件运行情况；</w:t>
      </w:r>
    </w:p>
    <w:p>
      <w:pPr>
        <w:numPr>
          <w:ilvl w:val="0"/>
          <w:numId w:val="3"/>
        </w:numPr>
        <w:ind w:firstLine="422" w:firstLineChars="200"/>
        <w:rPr>
          <w:rFonts w:hint="eastAsia"/>
          <w:b/>
          <w:bCs/>
        </w:rPr>
      </w:pPr>
      <w:r>
        <w:rPr>
          <w:rFonts w:hint="eastAsia"/>
          <w:b/>
          <w:bCs/>
        </w:rPr>
        <w:t>为甲方提供软件使用方面的咨询、指导。</w:t>
      </w:r>
    </w:p>
    <w:p>
      <w:pPr>
        <w:rPr>
          <w:rFonts w:hint="eastAsia"/>
        </w:rPr>
      </w:pPr>
      <w:r>
        <w:pict>
          <v:rect id="_x0000_i1025" o:spt="1" style="height:0.75pt;width:0pt;" fillcolor="#F8FAFF" filled="t" stroked="f" coordsize="21600,21600" o:hr="t" o:hrstd="t" o:hrnoshade="t" o:hralign="center">
            <v:path/>
            <v:fill on="t" focussize="0,0"/>
            <v:stroke on="f"/>
            <v:imagedata o:title=""/>
            <o:lock v:ext="edit"/>
            <w10:wrap type="none"/>
            <w10:anchorlock/>
          </v:rect>
        </w:pict>
      </w:r>
    </w:p>
    <w:p>
      <w:pPr>
        <w:rPr>
          <w:rFonts w:hint="eastAsia"/>
          <w:b/>
          <w:bCs/>
        </w:rPr>
      </w:pPr>
      <w:r>
        <w:rPr>
          <w:b/>
          <w:bCs/>
        </w:rPr>
        <w:t>第二部分：</w:t>
      </w:r>
      <w:r>
        <w:rPr>
          <w:rFonts w:hint="eastAsia"/>
          <w:b/>
          <w:bCs/>
        </w:rPr>
        <w:t xml:space="preserve">电子会计档案-收入端运营服务 </w:t>
      </w:r>
    </w:p>
    <w:p>
      <w:r>
        <w:pict>
          <v:rect id="_x0000_i1027" o:spt="1" style="height:0.75pt;width:0pt;" fillcolor="#F8FAFF" filled="t" stroked="f" coordsize="21600,21600" o:hr="t" o:hrstd="t" o:hrnoshade="t" o:hralign="center">
            <v:path/>
            <v:fill on="t" focussize="0,0"/>
            <v:stroke on="f"/>
            <v:imagedata o:title=""/>
            <o:lock v:ext="edit"/>
            <w10:wrap type="none"/>
            <w10:anchorlock/>
          </v:rect>
        </w:pic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786"/>
        <w:gridCol w:w="806"/>
        <w:gridCol w:w="864"/>
        <w:gridCol w:w="5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0234" w:type="dxa"/>
            <w:gridSpan w:val="5"/>
          </w:tcPr>
          <w:p>
            <w:pPr>
              <w:jc w:val="center"/>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电子会计档案系统-收入端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00"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序号</w:t>
            </w:r>
          </w:p>
        </w:tc>
        <w:tc>
          <w:tcPr>
            <w:tcW w:w="900"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分类</w:t>
            </w: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菜单</w:t>
            </w:r>
          </w:p>
        </w:tc>
        <w:tc>
          <w:tcPr>
            <w:tcW w:w="940"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功能</w:t>
            </w: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功能描述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00" w:type="dxa"/>
            <w:vMerge w:val="restart"/>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1</w:t>
            </w:r>
          </w:p>
        </w:tc>
        <w:tc>
          <w:tcPr>
            <w:tcW w:w="900" w:type="dxa"/>
            <w:vMerge w:val="restart"/>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基础信息配置</w:t>
            </w:r>
          </w:p>
        </w:tc>
        <w:tc>
          <w:tcPr>
            <w:tcW w:w="911" w:type="dxa"/>
            <w:vMerge w:val="restart"/>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实施配置管理</w:t>
            </w:r>
          </w:p>
        </w:tc>
        <w:tc>
          <w:tcPr>
            <w:tcW w:w="940"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智能组件规则</w:t>
            </w: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智能组件规则可以通过组件规则的设置，将各类凭证的关联关系进行配置，从而通过规则自动化的将来源于不同系统、不同类别的电子凭证进行组件，从而节约人员整理时间，便于进行后续整理、查阅工作。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vMerge w:val="continue"/>
          </w:tcPr>
          <w:p>
            <w:pPr>
              <w:rPr>
                <w:rFonts w:ascii="Times New Roman" w:hAnsi="Times New Roman" w:eastAsia="宋体" w:cs="Times New Roman"/>
                <w:kern w:val="0"/>
                <w:sz w:val="20"/>
                <w:szCs w:val="20"/>
                <w14:ligatures w14:val="none"/>
              </w:rPr>
            </w:pPr>
          </w:p>
        </w:tc>
        <w:tc>
          <w:tcPr>
            <w:tcW w:w="940"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档案年度初始化</w:t>
            </w: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便于用户对不同年份的档案管理，对单位的档案归档年度进行初始化，设置需要归档的年度。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vMerge w:val="continue"/>
          </w:tcPr>
          <w:p>
            <w:pPr>
              <w:rPr>
                <w:rFonts w:ascii="Times New Roman" w:hAnsi="Times New Roman" w:eastAsia="宋体" w:cs="Times New Roman"/>
                <w:kern w:val="0"/>
                <w:sz w:val="20"/>
                <w:szCs w:val="20"/>
                <w14:ligatures w14:val="none"/>
              </w:rPr>
            </w:pPr>
          </w:p>
        </w:tc>
        <w:tc>
          <w:tcPr>
            <w:tcW w:w="940"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版式文档设计器</w:t>
            </w: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可以设计不同的与电子会计档案相关的版式文件，如记账凭证、原始凭证、账簿等。在版式、版面、字体、字号等方面与纸质文件保持完全一致。设计版式文件简单方便，界面美观易读。方便用户快速准确的打开和查看电子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vMerge w:val="continue"/>
          </w:tcPr>
          <w:p>
            <w:pPr>
              <w:rPr>
                <w:rFonts w:ascii="Times New Roman" w:hAnsi="Times New Roman" w:eastAsia="宋体" w:cs="Times New Roman"/>
                <w:kern w:val="0"/>
                <w:sz w:val="20"/>
                <w:szCs w:val="20"/>
                <w14:ligatures w14:val="none"/>
              </w:rPr>
            </w:pPr>
          </w:p>
        </w:tc>
        <w:tc>
          <w:tcPr>
            <w:tcW w:w="940"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原始凭证类型</w:t>
            </w: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支持用户对原始凭证类型进行编辑，从而方便对新增原始凭证类别进行配置。</w:t>
            </w:r>
            <w:r>
              <w:rPr>
                <w:rFonts w:hint="eastAsia" w:ascii="Times New Roman" w:hAnsi="Times New Roman" w:eastAsia="宋体" w:cs="Times New Roman"/>
                <w:kern w:val="0"/>
                <w:sz w:val="20"/>
                <w:szCs w:val="20"/>
                <w14:ligatures w14:val="none"/>
              </w:rPr>
              <w:br w:type="textWrapping"/>
            </w:r>
            <w:r>
              <w:rPr>
                <w:rFonts w:hint="eastAsia" w:ascii="Times New Roman" w:hAnsi="Times New Roman" w:eastAsia="宋体" w:cs="Times New Roman"/>
                <w:kern w:val="0"/>
                <w:sz w:val="20"/>
                <w:szCs w:val="20"/>
                <w14:ligatures w14:val="none"/>
              </w:rPr>
              <w:t>同时，根据本级要求，支持对原始凭证类型向下级单位下发，满足多级管理要求。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vMerge w:val="continue"/>
          </w:tcPr>
          <w:p>
            <w:pPr>
              <w:rPr>
                <w:rFonts w:ascii="Times New Roman" w:hAnsi="Times New Roman" w:eastAsia="宋体" w:cs="Times New Roman"/>
                <w:kern w:val="0"/>
                <w:sz w:val="20"/>
                <w:szCs w:val="20"/>
                <w14:ligatures w14:val="none"/>
              </w:rPr>
            </w:pPr>
          </w:p>
        </w:tc>
        <w:tc>
          <w:tcPr>
            <w:tcW w:w="940"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水印设置</w:t>
            </w: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系统查看或者借阅时可配置水印，有效声明凭证来源，防止他人未经授权使用或盗用。</w:t>
            </w:r>
            <w:r>
              <w:rPr>
                <w:rFonts w:hint="eastAsia" w:ascii="Times New Roman" w:hAnsi="Times New Roman" w:eastAsia="宋体" w:cs="Times New Roman"/>
                <w:kern w:val="0"/>
                <w:sz w:val="20"/>
                <w:szCs w:val="20"/>
                <w14:ligatures w14:val="none"/>
              </w:rPr>
              <w:br w:type="textWrapping"/>
            </w:r>
            <w:r>
              <w:rPr>
                <w:rFonts w:hint="eastAsia" w:ascii="Times New Roman" w:hAnsi="Times New Roman" w:eastAsia="宋体" w:cs="Times New Roman"/>
                <w:kern w:val="0"/>
                <w:sz w:val="20"/>
                <w:szCs w:val="20"/>
                <w14:ligatures w14:val="none"/>
              </w:rPr>
              <w:t>电子会计档案查看、借阅、打印等支持增加动态水印+静态水印；</w:t>
            </w:r>
            <w:r>
              <w:rPr>
                <w:rFonts w:hint="eastAsia" w:ascii="Times New Roman" w:hAnsi="Times New Roman" w:eastAsia="宋体" w:cs="Times New Roman"/>
                <w:kern w:val="0"/>
                <w:sz w:val="20"/>
                <w:szCs w:val="20"/>
                <w14:ligatures w14:val="none"/>
              </w:rPr>
              <w:br w:type="textWrapping"/>
            </w:r>
            <w:r>
              <w:rPr>
                <w:rFonts w:hint="eastAsia" w:ascii="Times New Roman" w:hAnsi="Times New Roman" w:eastAsia="宋体" w:cs="Times New Roman"/>
                <w:kern w:val="0"/>
                <w:sz w:val="20"/>
                <w:szCs w:val="20"/>
                <w14:ligatures w14:val="none"/>
              </w:rPr>
              <w:t>此功能用于设置单位水印，包含系统水印、借阅水印，保障档案信息查询、借阅安全。用于查看凭证，账簿的档案水印。</w:t>
            </w:r>
            <w:r>
              <w:rPr>
                <w:rFonts w:hint="eastAsia" w:ascii="Times New Roman" w:hAnsi="Times New Roman" w:eastAsia="宋体" w:cs="Times New Roman"/>
                <w:kern w:val="0"/>
                <w:sz w:val="20"/>
                <w:szCs w:val="20"/>
                <w14:ligatures w14:val="none"/>
              </w:rPr>
              <w:br w:type="textWrapping"/>
            </w:r>
            <w:r>
              <w:rPr>
                <w:rFonts w:hint="eastAsia" w:ascii="Times New Roman" w:hAnsi="Times New Roman" w:eastAsia="宋体" w:cs="Times New Roman"/>
                <w:kern w:val="0"/>
                <w:sz w:val="20"/>
                <w:szCs w:val="20"/>
                <w14:ligatures w14:val="none"/>
              </w:rPr>
              <w:t>借阅水印可根据不同要素展示动态配置水印显示内容，如显示“部门”、“手机号”、“身份证号”等。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vMerge w:val="continue"/>
          </w:tcPr>
          <w:p>
            <w:pPr>
              <w:rPr>
                <w:rFonts w:ascii="Times New Roman" w:hAnsi="Times New Roman" w:eastAsia="宋体" w:cs="Times New Roman"/>
                <w:kern w:val="0"/>
                <w:sz w:val="20"/>
                <w:szCs w:val="20"/>
                <w14:ligatures w14:val="none"/>
              </w:rPr>
            </w:pPr>
          </w:p>
        </w:tc>
        <w:tc>
          <w:tcPr>
            <w:tcW w:w="940"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记账凭证配置</w:t>
            </w: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记账凭证配置可根据用户不同需求，对数据源、展现形式等自由设置。</w:t>
            </w:r>
            <w:r>
              <w:rPr>
                <w:rFonts w:hint="eastAsia" w:ascii="Times New Roman" w:hAnsi="Times New Roman" w:eastAsia="宋体" w:cs="Times New Roman"/>
                <w:kern w:val="0"/>
                <w:sz w:val="20"/>
                <w:szCs w:val="20"/>
                <w14:ligatures w14:val="none"/>
              </w:rPr>
              <w:br w:type="textWrapping"/>
            </w:r>
            <w:r>
              <w:rPr>
                <w:rFonts w:hint="eastAsia" w:ascii="Times New Roman" w:hAnsi="Times New Roman" w:eastAsia="宋体" w:cs="Times New Roman"/>
                <w:kern w:val="0"/>
                <w:sz w:val="20"/>
                <w:szCs w:val="20"/>
                <w14:ligatures w14:val="none"/>
              </w:rPr>
              <w:t>支持对待整理或已经归档的记账凭证各项属性进行配置，比如是否允许查看未授权账套数据、记账凭证科目明细展示方式、电子档案柜封面配置、查询记账凭证排序规则、记账凭证归档分册方式等。支持账套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vMerge w:val="continue"/>
          </w:tcPr>
          <w:p>
            <w:pPr>
              <w:rPr>
                <w:rFonts w:ascii="Times New Roman" w:hAnsi="Times New Roman" w:eastAsia="宋体" w:cs="Times New Roman"/>
                <w:kern w:val="0"/>
                <w:sz w:val="20"/>
                <w:szCs w:val="20"/>
                <w14:ligatures w14:val="none"/>
              </w:rPr>
            </w:pPr>
          </w:p>
        </w:tc>
        <w:tc>
          <w:tcPr>
            <w:tcW w:w="940"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档案归档范围配置</w:t>
            </w: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档案归档范围配置可根据用户不同需求，自定义归档范围。从而应对凭证归档范围的变化。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vMerge w:val="continue"/>
          </w:tcPr>
          <w:p>
            <w:pPr>
              <w:rPr>
                <w:rFonts w:ascii="Times New Roman" w:hAnsi="Times New Roman" w:eastAsia="宋体" w:cs="Times New Roman"/>
                <w:kern w:val="0"/>
                <w:sz w:val="20"/>
                <w:szCs w:val="20"/>
                <w14:ligatures w14:val="none"/>
              </w:rPr>
            </w:pPr>
          </w:p>
        </w:tc>
        <w:tc>
          <w:tcPr>
            <w:tcW w:w="940"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审批流程定义</w:t>
            </w: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提供申请审批流程自定义。满足票据归档、档案借阅、档案移交等审批流程定义。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vMerge w:val="continue"/>
          </w:tcPr>
          <w:p>
            <w:pPr>
              <w:rPr>
                <w:rFonts w:ascii="Times New Roman" w:hAnsi="Times New Roman" w:eastAsia="宋体" w:cs="Times New Roman"/>
                <w:kern w:val="0"/>
                <w:sz w:val="20"/>
                <w:szCs w:val="20"/>
                <w14:ligatures w14:val="none"/>
              </w:rPr>
            </w:pPr>
          </w:p>
        </w:tc>
        <w:tc>
          <w:tcPr>
            <w:tcW w:w="940"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账套权限管理</w:t>
            </w: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设置用户账套权限，确保只有授权人员才能访问特定的财务信息。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vMerge w:val="continue"/>
          </w:tcPr>
          <w:p>
            <w:pPr>
              <w:rPr>
                <w:rFonts w:ascii="Times New Roman" w:hAnsi="Times New Roman" w:eastAsia="宋体" w:cs="Times New Roman"/>
                <w:kern w:val="0"/>
                <w:sz w:val="20"/>
                <w:szCs w:val="20"/>
                <w14:ligatures w14:val="none"/>
              </w:rPr>
            </w:pPr>
          </w:p>
        </w:tc>
        <w:tc>
          <w:tcPr>
            <w:tcW w:w="940"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归档适配器下载</w:t>
            </w: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针对多种系统，提供不同归档适配器版本，包含window、mac、linux。从而便于不同用户使用。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vMerge w:val="continue"/>
          </w:tcPr>
          <w:p>
            <w:pPr>
              <w:rPr>
                <w:rFonts w:ascii="Times New Roman" w:hAnsi="Times New Roman" w:eastAsia="宋体" w:cs="Times New Roman"/>
                <w:kern w:val="0"/>
                <w:sz w:val="20"/>
                <w:szCs w:val="20"/>
                <w14:ligatures w14:val="none"/>
              </w:rPr>
            </w:pPr>
          </w:p>
        </w:tc>
        <w:tc>
          <w:tcPr>
            <w:tcW w:w="940"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脱敏配置</w:t>
            </w: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脱敏内容配置功能，支持根据角色、模块，对不同的人员设置不同的脱敏字段。相关人员在查看、下载、打印档案时，脱敏字段会被星号加密，无法查看。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vMerge w:val="continue"/>
          </w:tcPr>
          <w:p>
            <w:pPr>
              <w:rPr>
                <w:rFonts w:ascii="Times New Roman" w:hAnsi="Times New Roman" w:eastAsia="宋体" w:cs="Times New Roman"/>
                <w:kern w:val="0"/>
                <w:sz w:val="20"/>
                <w:szCs w:val="20"/>
                <w14:ligatures w14:val="none"/>
              </w:rPr>
            </w:pPr>
          </w:p>
        </w:tc>
        <w:tc>
          <w:tcPr>
            <w:tcW w:w="940"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档案双重备份配置</w:t>
            </w: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用户可根据单位情况，选择是否使用文件传输协议（FTP）将数据从本地计算机或服务器传输到远程服务器。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vMerge w:val="continue"/>
          </w:tcPr>
          <w:p>
            <w:pPr>
              <w:rPr>
                <w:rFonts w:ascii="Times New Roman" w:hAnsi="Times New Roman" w:eastAsia="宋体" w:cs="Times New Roman"/>
                <w:kern w:val="0"/>
                <w:sz w:val="20"/>
                <w:szCs w:val="20"/>
                <w14:ligatures w14:val="none"/>
              </w:rPr>
            </w:pPr>
          </w:p>
        </w:tc>
        <w:tc>
          <w:tcPr>
            <w:tcW w:w="940"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数字签名印章</w:t>
            </w: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数字签名是一种有效的措施，防止档案被篡改。此功能提供单位机构电子签章或个人签章签名的管理。为档案管理各环节提供有效措施，电子档案防篡改。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900" w:type="dxa"/>
            <w:vMerge w:val="restart"/>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2</w:t>
            </w:r>
          </w:p>
        </w:tc>
        <w:tc>
          <w:tcPr>
            <w:tcW w:w="900" w:type="dxa"/>
            <w:vMerge w:val="continue"/>
          </w:tcPr>
          <w:p>
            <w:pPr>
              <w:rPr>
                <w:rFonts w:ascii="Times New Roman" w:hAnsi="Times New Roman" w:eastAsia="宋体" w:cs="Times New Roman"/>
                <w:kern w:val="0"/>
                <w:sz w:val="20"/>
                <w:szCs w:val="20"/>
                <w14:ligatures w14:val="none"/>
              </w:rPr>
            </w:pPr>
          </w:p>
        </w:tc>
        <w:tc>
          <w:tcPr>
            <w:tcW w:w="911" w:type="dxa"/>
            <w:vMerge w:val="restart"/>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档案基础信息管理</w:t>
            </w:r>
          </w:p>
        </w:tc>
        <w:tc>
          <w:tcPr>
            <w:tcW w:w="940"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档案室</w:t>
            </w: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针对多个档案室、档案室变更的情况，支持用户对档案室信息进行维护。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vMerge w:val="continue"/>
          </w:tcPr>
          <w:p>
            <w:pPr>
              <w:rPr>
                <w:rFonts w:ascii="Times New Roman" w:hAnsi="Times New Roman" w:eastAsia="宋体" w:cs="Times New Roman"/>
                <w:kern w:val="0"/>
                <w:sz w:val="20"/>
                <w:szCs w:val="20"/>
                <w14:ligatures w14:val="none"/>
              </w:rPr>
            </w:pPr>
          </w:p>
        </w:tc>
        <w:tc>
          <w:tcPr>
            <w:tcW w:w="940"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档案存储位置</w:t>
            </w: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存储位置提供档案盒位置记录功能，便于用户查找。针对纸质档案盒，用户可进行档案存储位置的编辑。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vMerge w:val="continue"/>
          </w:tcPr>
          <w:p>
            <w:pPr>
              <w:rPr>
                <w:rFonts w:ascii="Times New Roman" w:hAnsi="Times New Roman" w:eastAsia="宋体" w:cs="Times New Roman"/>
                <w:kern w:val="0"/>
                <w:sz w:val="20"/>
                <w:szCs w:val="20"/>
                <w14:ligatures w14:val="none"/>
              </w:rPr>
            </w:pPr>
          </w:p>
        </w:tc>
        <w:tc>
          <w:tcPr>
            <w:tcW w:w="940"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全宗信息配置</w:t>
            </w: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支持对档案的全宗信息进行描述和配置。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vMerge w:val="continue"/>
          </w:tcPr>
          <w:p>
            <w:pPr>
              <w:rPr>
                <w:rFonts w:ascii="Times New Roman" w:hAnsi="Times New Roman" w:eastAsia="宋体" w:cs="Times New Roman"/>
                <w:kern w:val="0"/>
                <w:sz w:val="20"/>
                <w:szCs w:val="20"/>
                <w14:ligatures w14:val="none"/>
              </w:rPr>
            </w:pPr>
          </w:p>
        </w:tc>
        <w:tc>
          <w:tcPr>
            <w:tcW w:w="940"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目录信息配置</w:t>
            </w: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支持按年度、按单位生成档案目录。列示已经完成归档的项目名称清单。</w:t>
            </w:r>
            <w:r>
              <w:rPr>
                <w:rFonts w:hint="eastAsia" w:ascii="Times New Roman" w:hAnsi="Times New Roman" w:eastAsia="宋体" w:cs="Times New Roman"/>
                <w:kern w:val="0"/>
                <w:sz w:val="20"/>
                <w:szCs w:val="20"/>
                <w14:ligatures w14:val="none"/>
              </w:rPr>
              <w:br w:type="textWrapping"/>
            </w:r>
            <w:r>
              <w:rPr>
                <w:rFonts w:hint="eastAsia" w:ascii="Times New Roman" w:hAnsi="Times New Roman" w:eastAsia="宋体" w:cs="Times New Roman"/>
                <w:kern w:val="0"/>
                <w:sz w:val="20"/>
                <w:szCs w:val="20"/>
                <w14:ligatures w14:val="none"/>
              </w:rPr>
              <w:t>具备各门类纸质档案管理功能，包括对电子档案和纸质档案同步编目、排序、编制档号等功能。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vMerge w:val="continue"/>
          </w:tcPr>
          <w:p>
            <w:pPr>
              <w:rPr>
                <w:rFonts w:ascii="Times New Roman" w:hAnsi="Times New Roman" w:eastAsia="宋体" w:cs="Times New Roman"/>
                <w:kern w:val="0"/>
                <w:sz w:val="20"/>
                <w:szCs w:val="20"/>
                <w14:ligatures w14:val="none"/>
              </w:rPr>
            </w:pPr>
          </w:p>
        </w:tc>
        <w:tc>
          <w:tcPr>
            <w:tcW w:w="940"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案卷管理</w:t>
            </w: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用户可根据需要增添不同案卷类型，满足多样化的案卷管理需求。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vMerge w:val="continue"/>
          </w:tcPr>
          <w:p>
            <w:pPr>
              <w:rPr>
                <w:rFonts w:ascii="Times New Roman" w:hAnsi="Times New Roman" w:eastAsia="宋体" w:cs="Times New Roman"/>
                <w:kern w:val="0"/>
                <w:sz w:val="20"/>
                <w:szCs w:val="20"/>
                <w14:ligatures w14:val="none"/>
              </w:rPr>
            </w:pPr>
          </w:p>
        </w:tc>
        <w:tc>
          <w:tcPr>
            <w:tcW w:w="940"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人工著录</w:t>
            </w: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根据标准化的著录规则，创建描述资源的元数据集，为资源管理提供基础信息。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vMerge w:val="continue"/>
          </w:tcPr>
          <w:p>
            <w:pPr>
              <w:rPr>
                <w:rFonts w:ascii="Times New Roman" w:hAnsi="Times New Roman" w:eastAsia="宋体" w:cs="Times New Roman"/>
                <w:kern w:val="0"/>
                <w:sz w:val="20"/>
                <w:szCs w:val="20"/>
                <w14:ligatures w14:val="none"/>
              </w:rPr>
            </w:pPr>
          </w:p>
        </w:tc>
        <w:tc>
          <w:tcPr>
            <w:tcW w:w="940"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会计档案保管期限表</w:t>
            </w: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根据会计资料保管期限，系统展示各类会计档案保管期限。同时支持用户选择是否需要提醒。从人找档案期限转变为到期档案找人。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trPr>
        <w:tc>
          <w:tcPr>
            <w:tcW w:w="900" w:type="dxa"/>
            <w:vMerge w:val="restart"/>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3</w:t>
            </w:r>
          </w:p>
        </w:tc>
        <w:tc>
          <w:tcPr>
            <w:tcW w:w="900" w:type="dxa"/>
            <w:vMerge w:val="continue"/>
          </w:tcPr>
          <w:p>
            <w:pPr>
              <w:rPr>
                <w:rFonts w:ascii="Times New Roman" w:hAnsi="Times New Roman" w:eastAsia="宋体" w:cs="Times New Roman"/>
                <w:kern w:val="0"/>
                <w:sz w:val="20"/>
                <w:szCs w:val="20"/>
                <w14:ligatures w14:val="none"/>
              </w:rPr>
            </w:pPr>
          </w:p>
        </w:tc>
        <w:tc>
          <w:tcPr>
            <w:tcW w:w="911" w:type="dxa"/>
            <w:vMerge w:val="restart"/>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系统管理</w:t>
            </w:r>
          </w:p>
        </w:tc>
        <w:tc>
          <w:tcPr>
            <w:tcW w:w="940"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机构管理</w:t>
            </w: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用户可对机构信息进行维护。对单位机构进行管理，维护机构编码、机构名称、联系人等机构基础信息。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2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vMerge w:val="continue"/>
          </w:tcPr>
          <w:p>
            <w:pPr>
              <w:rPr>
                <w:rFonts w:ascii="Times New Roman" w:hAnsi="Times New Roman" w:eastAsia="宋体" w:cs="Times New Roman"/>
                <w:kern w:val="0"/>
                <w:sz w:val="20"/>
                <w:szCs w:val="20"/>
                <w14:ligatures w14:val="none"/>
              </w:rPr>
            </w:pPr>
          </w:p>
        </w:tc>
        <w:tc>
          <w:tcPr>
            <w:tcW w:w="940"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用户管理</w:t>
            </w: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支持对用户账号进行管理，创建不同的账号信息，分配给不同人员使用。</w:t>
            </w:r>
            <w:r>
              <w:rPr>
                <w:rFonts w:hint="eastAsia" w:ascii="Times New Roman" w:hAnsi="Times New Roman" w:eastAsia="宋体" w:cs="Times New Roman"/>
                <w:kern w:val="0"/>
                <w:sz w:val="20"/>
                <w:szCs w:val="20"/>
                <w14:ligatures w14:val="none"/>
              </w:rPr>
              <w:br w:type="textWrapping"/>
            </w:r>
            <w:r>
              <w:rPr>
                <w:rFonts w:hint="eastAsia" w:ascii="Times New Roman" w:hAnsi="Times New Roman" w:eastAsia="宋体" w:cs="Times New Roman"/>
                <w:kern w:val="0"/>
                <w:sz w:val="20"/>
                <w:szCs w:val="20"/>
                <w14:ligatures w14:val="none"/>
              </w:rPr>
              <w:t>单位可根据单位实际业务情况，创建本单位的用户信息，对单位用户进行新增、修改等操作。</w:t>
            </w:r>
            <w:r>
              <w:rPr>
                <w:rFonts w:hint="eastAsia" w:ascii="Times New Roman" w:hAnsi="Times New Roman" w:eastAsia="宋体" w:cs="Times New Roman"/>
                <w:kern w:val="0"/>
                <w:sz w:val="20"/>
                <w:szCs w:val="20"/>
                <w14:ligatures w14:val="none"/>
              </w:rPr>
              <w:br w:type="textWrapping"/>
            </w:r>
            <w:r>
              <w:rPr>
                <w:rFonts w:hint="eastAsia" w:ascii="Times New Roman" w:hAnsi="Times New Roman" w:eastAsia="宋体" w:cs="Times New Roman"/>
                <w:kern w:val="0"/>
                <w:sz w:val="20"/>
                <w:szCs w:val="20"/>
                <w14:ligatures w14:val="none"/>
              </w:rPr>
              <w:t>单位档案管理员：完成对电子会计档案的入库、审核等综合管理；</w:t>
            </w:r>
            <w:r>
              <w:rPr>
                <w:rFonts w:hint="eastAsia" w:ascii="Times New Roman" w:hAnsi="Times New Roman" w:eastAsia="宋体" w:cs="Times New Roman"/>
                <w:kern w:val="0"/>
                <w:sz w:val="20"/>
                <w:szCs w:val="20"/>
                <w14:ligatures w14:val="none"/>
              </w:rPr>
              <w:br w:type="textWrapping"/>
            </w:r>
            <w:r>
              <w:rPr>
                <w:rFonts w:hint="eastAsia" w:ascii="Times New Roman" w:hAnsi="Times New Roman" w:eastAsia="宋体" w:cs="Times New Roman"/>
                <w:kern w:val="0"/>
                <w:sz w:val="20"/>
                <w:szCs w:val="20"/>
                <w14:ligatures w14:val="none"/>
              </w:rPr>
              <w:t>单位会计人员：对电子会计档案查询、利用、统计分析；</w:t>
            </w:r>
            <w:r>
              <w:rPr>
                <w:rFonts w:hint="eastAsia" w:ascii="Times New Roman" w:hAnsi="Times New Roman" w:eastAsia="宋体" w:cs="Times New Roman"/>
                <w:kern w:val="0"/>
                <w:sz w:val="20"/>
                <w:szCs w:val="20"/>
                <w14:ligatures w14:val="none"/>
              </w:rPr>
              <w:br w:type="textWrapping"/>
            </w:r>
            <w:r>
              <w:rPr>
                <w:rFonts w:hint="eastAsia" w:ascii="Times New Roman" w:hAnsi="Times New Roman" w:eastAsia="宋体" w:cs="Times New Roman"/>
                <w:kern w:val="0"/>
                <w:sz w:val="20"/>
                <w:szCs w:val="20"/>
                <w14:ligatures w14:val="none"/>
              </w:rPr>
              <w:t>普通用户：电子会计档案查阅；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vMerge w:val="continue"/>
          </w:tcPr>
          <w:p>
            <w:pPr>
              <w:rPr>
                <w:rFonts w:ascii="Times New Roman" w:hAnsi="Times New Roman" w:eastAsia="宋体" w:cs="Times New Roman"/>
                <w:kern w:val="0"/>
                <w:sz w:val="20"/>
                <w:szCs w:val="20"/>
                <w14:ligatures w14:val="none"/>
              </w:rPr>
            </w:pPr>
          </w:p>
        </w:tc>
        <w:tc>
          <w:tcPr>
            <w:tcW w:w="940"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权限管理</w:t>
            </w: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按照用户、岗位、机构的不同，可根据单位机构的实际需求进行授权设置。通过对用户、岗位或机构的绑定，允许其办理或查看相应的事项或数据，严格把控数据权限。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00" w:type="dxa"/>
            <w:vMerge w:val="restart"/>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4</w:t>
            </w:r>
          </w:p>
        </w:tc>
        <w:tc>
          <w:tcPr>
            <w:tcW w:w="900" w:type="dxa"/>
            <w:vMerge w:val="continue"/>
          </w:tcPr>
          <w:p>
            <w:pPr>
              <w:rPr>
                <w:rFonts w:ascii="Times New Roman" w:hAnsi="Times New Roman" w:eastAsia="宋体" w:cs="Times New Roman"/>
                <w:kern w:val="0"/>
                <w:sz w:val="20"/>
                <w:szCs w:val="20"/>
                <w14:ligatures w14:val="none"/>
              </w:rPr>
            </w:pPr>
          </w:p>
        </w:tc>
        <w:tc>
          <w:tcPr>
            <w:tcW w:w="911" w:type="dxa"/>
            <w:vMerge w:val="restart"/>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档案目录管理</w:t>
            </w:r>
          </w:p>
        </w:tc>
        <w:tc>
          <w:tcPr>
            <w:tcW w:w="940"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档案档号自定义</w:t>
            </w: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按单位档案的规则自定义设置档号。设置全宗号以及档案门类，在档案归档后以及电子档案柜中体现档号。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vMerge w:val="continue"/>
          </w:tcPr>
          <w:p>
            <w:pPr>
              <w:rPr>
                <w:rFonts w:ascii="Times New Roman" w:hAnsi="Times New Roman" w:eastAsia="宋体" w:cs="Times New Roman"/>
                <w:kern w:val="0"/>
                <w:sz w:val="20"/>
                <w:szCs w:val="20"/>
                <w14:ligatures w14:val="none"/>
              </w:rPr>
            </w:pPr>
          </w:p>
        </w:tc>
        <w:tc>
          <w:tcPr>
            <w:tcW w:w="940"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审批流程定义</w:t>
            </w: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提供申请审批流程自定义。满足档案归档、档案借阅、档案移交等审批流程定义。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vMerge w:val="continue"/>
          </w:tcPr>
          <w:p>
            <w:pPr>
              <w:rPr>
                <w:rFonts w:ascii="Times New Roman" w:hAnsi="Times New Roman" w:eastAsia="宋体" w:cs="Times New Roman"/>
                <w:kern w:val="0"/>
                <w:sz w:val="20"/>
                <w:szCs w:val="20"/>
                <w14:ligatures w14:val="none"/>
              </w:rPr>
            </w:pPr>
          </w:p>
        </w:tc>
        <w:tc>
          <w:tcPr>
            <w:tcW w:w="940"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电子签名管理</w:t>
            </w: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提供单位机构电子签章或个人签章签名的管理。为档案管理各环节提供有效措施，电子档案防篡改。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vMerge w:val="continue"/>
          </w:tcPr>
          <w:p>
            <w:pPr>
              <w:rPr>
                <w:rFonts w:ascii="Times New Roman" w:hAnsi="Times New Roman" w:eastAsia="宋体" w:cs="Times New Roman"/>
                <w:kern w:val="0"/>
                <w:sz w:val="20"/>
                <w:szCs w:val="20"/>
                <w14:ligatures w14:val="none"/>
              </w:rPr>
            </w:pPr>
          </w:p>
        </w:tc>
        <w:tc>
          <w:tcPr>
            <w:tcW w:w="940"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日志服务</w:t>
            </w: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针对一些关键业务增加的业务日志服务，该服务可以记录业务发生的整个过程，主要包含三部分内容，日志API服务、日志管理、日志统计。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vMerge w:val="continue"/>
          </w:tcPr>
          <w:p>
            <w:pPr>
              <w:rPr>
                <w:rFonts w:ascii="Times New Roman" w:hAnsi="Times New Roman" w:eastAsia="宋体" w:cs="Times New Roman"/>
                <w:kern w:val="0"/>
                <w:sz w:val="20"/>
                <w:szCs w:val="20"/>
                <w14:ligatures w14:val="none"/>
              </w:rPr>
            </w:pPr>
          </w:p>
        </w:tc>
        <w:tc>
          <w:tcPr>
            <w:tcW w:w="940"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通知消息服务</w:t>
            </w: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系统提供统一的通知消息服务，对系统用户进行通知，主要包括：系统内消息、短信、邮件等，并且通知方式可以根据项目需要进行扩展，如与集成门户消息等方式。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vMerge w:val="continue"/>
          </w:tcPr>
          <w:p>
            <w:pPr>
              <w:rPr>
                <w:rFonts w:ascii="Times New Roman" w:hAnsi="Times New Roman" w:eastAsia="宋体" w:cs="Times New Roman"/>
                <w:kern w:val="0"/>
                <w:sz w:val="20"/>
                <w:szCs w:val="20"/>
                <w14:ligatures w14:val="none"/>
              </w:rPr>
            </w:pPr>
          </w:p>
        </w:tc>
        <w:tc>
          <w:tcPr>
            <w:tcW w:w="940"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数据接口管理</w:t>
            </w: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设计档案电子化处理的功能，开放主要接口，可实现与其他系统间的衔接，支持中间表和API模式等方式。</w:t>
            </w:r>
            <w:r>
              <w:rPr>
                <w:rFonts w:hint="eastAsia" w:ascii="Times New Roman" w:hAnsi="Times New Roman" w:eastAsia="宋体" w:cs="Times New Roman"/>
                <w:kern w:val="0"/>
                <w:sz w:val="20"/>
                <w:szCs w:val="20"/>
                <w14:ligatures w14:val="none"/>
              </w:rPr>
              <w:br w:type="textWrapping"/>
            </w:r>
            <w:r>
              <w:rPr>
                <w:rFonts w:hint="eastAsia" w:ascii="Times New Roman" w:hAnsi="Times New Roman" w:eastAsia="宋体" w:cs="Times New Roman"/>
                <w:kern w:val="0"/>
                <w:sz w:val="20"/>
                <w:szCs w:val="20"/>
                <w14:ligatures w14:val="none"/>
              </w:rPr>
              <w:t>按照业务类型设置外部数据源、各类档案数据项、数据采集方式等。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00" w:type="dxa"/>
            <w:vMerge w:val="restart"/>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5</w:t>
            </w:r>
          </w:p>
        </w:tc>
        <w:tc>
          <w:tcPr>
            <w:tcW w:w="900" w:type="dxa"/>
            <w:vMerge w:val="restart"/>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档案资料采集</w:t>
            </w:r>
          </w:p>
        </w:tc>
        <w:tc>
          <w:tcPr>
            <w:tcW w:w="911" w:type="dxa"/>
            <w:vMerge w:val="restart"/>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会计资料采集</w:t>
            </w:r>
          </w:p>
        </w:tc>
        <w:tc>
          <w:tcPr>
            <w:tcW w:w="940" w:type="dxa"/>
            <w:vMerge w:val="restart"/>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审计国标2010数据导入</w:t>
            </w:r>
          </w:p>
        </w:tc>
        <w:tc>
          <w:tcPr>
            <w:tcW w:w="6583" w:type="dxa"/>
            <w:vMerge w:val="restart"/>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对财务数据的采集，能够按审计国标2010数据标准格式进行采集。节约采集成本。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vMerge w:val="continue"/>
          </w:tcPr>
          <w:p>
            <w:pPr>
              <w:rPr>
                <w:rFonts w:ascii="Times New Roman" w:hAnsi="Times New Roman" w:eastAsia="宋体" w:cs="Times New Roman"/>
                <w:kern w:val="0"/>
                <w:sz w:val="20"/>
                <w:szCs w:val="20"/>
                <w14:ligatures w14:val="none"/>
              </w:rPr>
            </w:pPr>
          </w:p>
        </w:tc>
        <w:tc>
          <w:tcPr>
            <w:tcW w:w="940" w:type="dxa"/>
            <w:vMerge w:val="continue"/>
          </w:tcPr>
          <w:p>
            <w:pPr>
              <w:rPr>
                <w:rFonts w:ascii="Times New Roman" w:hAnsi="Times New Roman" w:eastAsia="宋体" w:cs="Times New Roman"/>
                <w:kern w:val="0"/>
                <w:sz w:val="20"/>
                <w:szCs w:val="20"/>
                <w14:ligatures w14:val="none"/>
              </w:rPr>
            </w:pPr>
          </w:p>
        </w:tc>
        <w:tc>
          <w:tcPr>
            <w:tcW w:w="6583" w:type="dxa"/>
            <w:vMerge w:val="continue"/>
          </w:tcPr>
          <w:p>
            <w:pPr>
              <w:rPr>
                <w:rFonts w:ascii="Times New Roman" w:hAnsi="Times New Roman" w:eastAsia="宋体" w:cs="Times New Roman"/>
                <w:kern w:val="0"/>
                <w:sz w:val="20"/>
                <w:szCs w:val="20"/>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vMerge w:val="continue"/>
          </w:tcPr>
          <w:p>
            <w:pPr>
              <w:rPr>
                <w:rFonts w:ascii="Times New Roman" w:hAnsi="Times New Roman" w:eastAsia="宋体" w:cs="Times New Roman"/>
                <w:kern w:val="0"/>
                <w:sz w:val="20"/>
                <w:szCs w:val="20"/>
                <w14:ligatures w14:val="none"/>
              </w:rPr>
            </w:pPr>
          </w:p>
        </w:tc>
        <w:tc>
          <w:tcPr>
            <w:tcW w:w="940" w:type="dxa"/>
            <w:vMerge w:val="restart"/>
          </w:tcPr>
          <w:p>
            <w:pPr>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归档适配器在线导入</w:t>
            </w:r>
          </w:p>
        </w:tc>
        <w:tc>
          <w:tcPr>
            <w:tcW w:w="6583" w:type="dxa"/>
            <w:vMerge w:val="restart"/>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提供成熟、便捷的在线档案采集工具，数据采集方式，配置，自动采集方式，提供在线导入方案。用于提取各个厂商的核算数据以及原始凭证数据，生成电子会计档案。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vMerge w:val="continue"/>
          </w:tcPr>
          <w:p>
            <w:pPr>
              <w:rPr>
                <w:rFonts w:ascii="Times New Roman" w:hAnsi="Times New Roman" w:eastAsia="宋体" w:cs="Times New Roman"/>
                <w:kern w:val="0"/>
                <w:sz w:val="20"/>
                <w:szCs w:val="20"/>
                <w14:ligatures w14:val="none"/>
              </w:rPr>
            </w:pPr>
          </w:p>
        </w:tc>
        <w:tc>
          <w:tcPr>
            <w:tcW w:w="940" w:type="dxa"/>
            <w:vMerge w:val="continue"/>
          </w:tcPr>
          <w:p>
            <w:pPr>
              <w:rPr>
                <w:rFonts w:ascii="Times New Roman" w:hAnsi="Times New Roman" w:eastAsia="宋体" w:cs="Times New Roman"/>
                <w:kern w:val="0"/>
                <w:sz w:val="20"/>
                <w:szCs w:val="20"/>
                <w14:ligatures w14:val="none"/>
              </w:rPr>
            </w:pPr>
          </w:p>
        </w:tc>
        <w:tc>
          <w:tcPr>
            <w:tcW w:w="6583" w:type="dxa"/>
            <w:vMerge w:val="continue"/>
          </w:tcPr>
          <w:p>
            <w:pPr>
              <w:rPr>
                <w:rFonts w:ascii="Times New Roman" w:hAnsi="Times New Roman" w:eastAsia="宋体" w:cs="Times New Roman"/>
                <w:kern w:val="0"/>
                <w:sz w:val="20"/>
                <w:szCs w:val="20"/>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8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vMerge w:val="continue"/>
          </w:tcPr>
          <w:p>
            <w:pPr>
              <w:rPr>
                <w:rFonts w:ascii="Times New Roman" w:hAnsi="Times New Roman" w:eastAsia="宋体" w:cs="Times New Roman"/>
                <w:kern w:val="0"/>
                <w:sz w:val="20"/>
                <w:szCs w:val="20"/>
                <w14:ligatures w14:val="none"/>
              </w:rPr>
            </w:pPr>
          </w:p>
        </w:tc>
        <w:tc>
          <w:tcPr>
            <w:tcW w:w="940" w:type="dxa"/>
            <w:vMerge w:val="restart"/>
          </w:tcPr>
          <w:p>
            <w:pPr>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影像化凭证档案采集</w:t>
            </w:r>
          </w:p>
        </w:tc>
        <w:tc>
          <w:tcPr>
            <w:tcW w:w="6583" w:type="dxa"/>
            <w:vMerge w:val="restart"/>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系统提供纸质资料影像文件上传接收处理，提供OCR识别，影像文件保存。</w:t>
            </w:r>
            <w:r>
              <w:rPr>
                <w:rFonts w:hint="eastAsia" w:ascii="Times New Roman" w:hAnsi="Times New Roman" w:eastAsia="宋体" w:cs="Times New Roman"/>
                <w:kern w:val="0"/>
                <w:sz w:val="20"/>
                <w:szCs w:val="20"/>
                <w14:ligatures w14:val="none"/>
              </w:rPr>
              <w:br w:type="textWrapping"/>
            </w:r>
            <w:r>
              <w:rPr>
                <w:rFonts w:hint="eastAsia" w:ascii="Times New Roman" w:hAnsi="Times New Roman" w:eastAsia="宋体" w:cs="Times New Roman"/>
                <w:kern w:val="0"/>
                <w:sz w:val="20"/>
                <w:szCs w:val="20"/>
                <w14:ligatures w14:val="none"/>
              </w:rPr>
              <w:t>对纸质原始凭证进行上传扫描文件（文件格式支持pdf、jpg、png、jpeg等数据格式），通过对已上传的纸质原始凭证进行分类、标记、排序、装订，并将会计凭证日期、凭证字号信息录入于系统中，建立纸质原始凭证与会计凭证的对应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vMerge w:val="continue"/>
          </w:tcPr>
          <w:p>
            <w:pPr>
              <w:rPr>
                <w:rFonts w:ascii="Times New Roman" w:hAnsi="Times New Roman" w:eastAsia="宋体" w:cs="Times New Roman"/>
                <w:kern w:val="0"/>
                <w:sz w:val="20"/>
                <w:szCs w:val="20"/>
                <w14:ligatures w14:val="none"/>
              </w:rPr>
            </w:pPr>
          </w:p>
        </w:tc>
        <w:tc>
          <w:tcPr>
            <w:tcW w:w="940" w:type="dxa"/>
            <w:vMerge w:val="continue"/>
          </w:tcPr>
          <w:p>
            <w:pPr>
              <w:rPr>
                <w:rFonts w:ascii="Times New Roman" w:hAnsi="Times New Roman" w:eastAsia="宋体" w:cs="Times New Roman"/>
                <w:kern w:val="0"/>
                <w:sz w:val="20"/>
                <w:szCs w:val="20"/>
                <w14:ligatures w14:val="none"/>
              </w:rPr>
            </w:pPr>
          </w:p>
        </w:tc>
        <w:tc>
          <w:tcPr>
            <w:tcW w:w="6583" w:type="dxa"/>
            <w:vMerge w:val="continue"/>
          </w:tcPr>
          <w:p>
            <w:pPr>
              <w:rPr>
                <w:rFonts w:ascii="Times New Roman" w:hAnsi="Times New Roman" w:eastAsia="宋体" w:cs="Times New Roman"/>
                <w:kern w:val="0"/>
                <w:sz w:val="20"/>
                <w:szCs w:val="20"/>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0" w:hRule="atLeast"/>
        </w:trPr>
        <w:tc>
          <w:tcPr>
            <w:tcW w:w="900" w:type="dxa"/>
            <w:vMerge w:val="restart"/>
          </w:tcPr>
          <w:p>
            <w:pPr>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6</w:t>
            </w:r>
          </w:p>
        </w:tc>
        <w:tc>
          <w:tcPr>
            <w:tcW w:w="900" w:type="dxa"/>
            <w:vMerge w:val="continue"/>
          </w:tcPr>
          <w:p>
            <w:pPr>
              <w:rPr>
                <w:rFonts w:ascii="Times New Roman" w:hAnsi="Times New Roman" w:eastAsia="宋体" w:cs="Times New Roman"/>
                <w:kern w:val="0"/>
                <w:sz w:val="20"/>
                <w:szCs w:val="20"/>
                <w14:ligatures w14:val="none"/>
              </w:rPr>
            </w:pPr>
          </w:p>
        </w:tc>
        <w:tc>
          <w:tcPr>
            <w:tcW w:w="911" w:type="dxa"/>
            <w:vMerge w:val="restart"/>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档案材料采集</w:t>
            </w:r>
          </w:p>
        </w:tc>
        <w:tc>
          <w:tcPr>
            <w:tcW w:w="940"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数据采集设置</w:t>
            </w: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通过此功能对从外部系统采集会计档案，对纸质原始凭证进行电子化管理。按照业务类型设置外部数据源、各类档案数据项、数据采集方式等。</w:t>
            </w:r>
            <w:r>
              <w:rPr>
                <w:rFonts w:hint="eastAsia" w:ascii="Times New Roman" w:hAnsi="Times New Roman" w:eastAsia="宋体" w:cs="Times New Roman"/>
                <w:kern w:val="0"/>
                <w:sz w:val="20"/>
                <w:szCs w:val="20"/>
                <w14:ligatures w14:val="none"/>
              </w:rPr>
              <w:br w:type="textWrapping"/>
            </w:r>
            <w:r>
              <w:rPr>
                <w:rFonts w:hint="eastAsia" w:ascii="Times New Roman" w:hAnsi="Times New Roman" w:eastAsia="宋体" w:cs="Times New Roman"/>
                <w:kern w:val="0"/>
                <w:sz w:val="20"/>
                <w:szCs w:val="20"/>
                <w14:ligatures w14:val="none"/>
              </w:rPr>
              <w:t>按照数据接口管理功能定义的各类档案数据，可通过数据库定时自动抽取、或是人工触发方式采集数据。</w:t>
            </w:r>
            <w:r>
              <w:rPr>
                <w:rFonts w:hint="eastAsia" w:ascii="Times New Roman" w:hAnsi="Times New Roman" w:eastAsia="宋体" w:cs="Times New Roman"/>
                <w:kern w:val="0"/>
                <w:sz w:val="20"/>
                <w:szCs w:val="20"/>
                <w14:ligatures w14:val="none"/>
              </w:rPr>
              <w:br w:type="textWrapping"/>
            </w:r>
            <w:r>
              <w:rPr>
                <w:rFonts w:hint="eastAsia" w:ascii="Times New Roman" w:hAnsi="Times New Roman" w:eastAsia="宋体" w:cs="Times New Roman"/>
                <w:kern w:val="0"/>
                <w:sz w:val="20"/>
                <w:szCs w:val="20"/>
                <w14:ligatures w14:val="none"/>
              </w:rPr>
              <w:t>数据采集日志管理。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vMerge w:val="continue"/>
          </w:tcPr>
          <w:p>
            <w:pPr>
              <w:rPr>
                <w:rFonts w:ascii="Times New Roman" w:hAnsi="Times New Roman" w:eastAsia="宋体" w:cs="Times New Roman"/>
                <w:kern w:val="0"/>
                <w:sz w:val="20"/>
                <w:szCs w:val="20"/>
                <w14:ligatures w14:val="none"/>
              </w:rPr>
            </w:pPr>
          </w:p>
        </w:tc>
        <w:tc>
          <w:tcPr>
            <w:tcW w:w="940"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归档适配器在线采集</w:t>
            </w: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此功能主要进行在线数据采集。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vMerge w:val="continue"/>
          </w:tcPr>
          <w:p>
            <w:pPr>
              <w:rPr>
                <w:rFonts w:ascii="Times New Roman" w:hAnsi="Times New Roman" w:eastAsia="宋体" w:cs="Times New Roman"/>
                <w:kern w:val="0"/>
                <w:sz w:val="20"/>
                <w:szCs w:val="20"/>
                <w14:ligatures w14:val="none"/>
              </w:rPr>
            </w:pPr>
          </w:p>
        </w:tc>
        <w:tc>
          <w:tcPr>
            <w:tcW w:w="940"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凭证数据采集</w:t>
            </w: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根据系统设置的同步周期，在系统后台自动将电子化的原始凭证资料进行同步采集。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vMerge w:val="continue"/>
          </w:tcPr>
          <w:p>
            <w:pPr>
              <w:rPr>
                <w:rFonts w:ascii="Times New Roman" w:hAnsi="Times New Roman" w:eastAsia="宋体" w:cs="Times New Roman"/>
                <w:kern w:val="0"/>
                <w:sz w:val="20"/>
                <w:szCs w:val="20"/>
                <w14:ligatures w14:val="none"/>
              </w:rPr>
            </w:pPr>
          </w:p>
        </w:tc>
        <w:tc>
          <w:tcPr>
            <w:tcW w:w="940"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账务数据采集</w:t>
            </w: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系统提供对接财务软件系统或对接审计标准格式数据两种方式，进行账务数据采集。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vMerge w:val="continue"/>
          </w:tcPr>
          <w:p>
            <w:pPr>
              <w:rPr>
                <w:rFonts w:ascii="Times New Roman" w:hAnsi="Times New Roman" w:eastAsia="宋体" w:cs="Times New Roman"/>
                <w:kern w:val="0"/>
                <w:sz w:val="20"/>
                <w:szCs w:val="20"/>
                <w14:ligatures w14:val="none"/>
              </w:rPr>
            </w:pPr>
          </w:p>
        </w:tc>
        <w:tc>
          <w:tcPr>
            <w:tcW w:w="940" w:type="dxa"/>
            <w:vMerge w:val="restart"/>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纸质资料影像化采集</w:t>
            </w:r>
          </w:p>
        </w:tc>
        <w:tc>
          <w:tcPr>
            <w:tcW w:w="6583" w:type="dxa"/>
            <w:vMerge w:val="restart"/>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系统提供纸质资料影像文件上传接收处理，提供OCR识别，影像文件保存。</w:t>
            </w:r>
            <w:r>
              <w:rPr>
                <w:rFonts w:hint="eastAsia" w:ascii="Times New Roman" w:hAnsi="Times New Roman" w:eastAsia="宋体" w:cs="Times New Roman"/>
                <w:kern w:val="0"/>
                <w:sz w:val="20"/>
                <w:szCs w:val="20"/>
                <w14:ligatures w14:val="none"/>
              </w:rPr>
              <w:br w:type="textWrapping"/>
            </w:r>
            <w:r>
              <w:rPr>
                <w:rFonts w:hint="eastAsia" w:ascii="Times New Roman" w:hAnsi="Times New Roman" w:eastAsia="宋体" w:cs="Times New Roman"/>
                <w:kern w:val="0"/>
                <w:sz w:val="20"/>
                <w:szCs w:val="20"/>
                <w14:ligatures w14:val="none"/>
              </w:rPr>
              <w:t>对纸质原始凭证进行上传扫描文件（文件格式支持pdf、jpg、png、jpeg等数据格式），通过对已上传的纸质原始凭证进行分类、标记、排序、装订，并将会计凭证日期、凭证字号信息录入于系统中，建立纸质原始凭证与会计凭证的对应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vMerge w:val="continue"/>
          </w:tcPr>
          <w:p>
            <w:pPr>
              <w:rPr>
                <w:rFonts w:ascii="Times New Roman" w:hAnsi="Times New Roman" w:eastAsia="宋体" w:cs="Times New Roman"/>
                <w:kern w:val="0"/>
                <w:sz w:val="20"/>
                <w:szCs w:val="20"/>
                <w14:ligatures w14:val="none"/>
              </w:rPr>
            </w:pPr>
          </w:p>
        </w:tc>
        <w:tc>
          <w:tcPr>
            <w:tcW w:w="940" w:type="dxa"/>
            <w:vMerge w:val="continue"/>
          </w:tcPr>
          <w:p>
            <w:pPr>
              <w:rPr>
                <w:rFonts w:ascii="Times New Roman" w:hAnsi="Times New Roman" w:eastAsia="宋体" w:cs="Times New Roman"/>
                <w:kern w:val="0"/>
                <w:sz w:val="20"/>
                <w:szCs w:val="20"/>
                <w14:ligatures w14:val="none"/>
              </w:rPr>
            </w:pPr>
          </w:p>
        </w:tc>
        <w:tc>
          <w:tcPr>
            <w:tcW w:w="6583" w:type="dxa"/>
            <w:vMerge w:val="continue"/>
          </w:tcPr>
          <w:p>
            <w:pPr>
              <w:rPr>
                <w:rFonts w:ascii="Times New Roman" w:hAnsi="Times New Roman" w:eastAsia="宋体" w:cs="Times New Roman"/>
                <w:kern w:val="0"/>
                <w:sz w:val="20"/>
                <w:szCs w:val="20"/>
                <w14:ligatures w14: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00" w:type="dxa"/>
            <w:vMerge w:val="restart"/>
          </w:tcPr>
          <w:p>
            <w:pPr>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7</w:t>
            </w:r>
          </w:p>
        </w:tc>
        <w:tc>
          <w:tcPr>
            <w:tcW w:w="900" w:type="dxa"/>
            <w:vMerge w:val="restart"/>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记账凭证资料</w:t>
            </w: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记账凭证</w:t>
            </w:r>
          </w:p>
        </w:tc>
        <w:tc>
          <w:tcPr>
            <w:tcW w:w="940" w:type="dxa"/>
            <w:vMerge w:val="restart"/>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w:t>
            </w: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用户可在系统中便捷查看每月记账凭证，可查看电子记账凭证以及相关凭证附件，同时支持对附件进行上传，便于随时补充。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记账凭证附件检查</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系统自动根据附件数量，检查期间内记账凭证和原始凭证的数量是否一致，从而便于管理人员核对完整性。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凭证汇总表</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支持查看电子凭证汇总表档案。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纸质档案存放位置</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设置档案存放物理位置。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历史纸质凭证目录</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支持用户导入历史纸质凭证目录。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纸质凭证位置检索</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此功能是根据已经导入的目录，检索纸质凭证的位置，支持挑选凭证并导出。在纸质凭证目录Excel导入后，根据数据生成纸质凭证的具体位置，并可以根据挑选需要检索的纸质凭证生成Excel文件，方便经办人进行查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00" w:type="dxa"/>
            <w:vMerge w:val="restart"/>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8</w:t>
            </w:r>
          </w:p>
        </w:tc>
        <w:tc>
          <w:tcPr>
            <w:tcW w:w="900" w:type="dxa"/>
            <w:vMerge w:val="restart"/>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会计账簿资料</w:t>
            </w: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总账-打印模式</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此功能主要为采集的总账信息，动态生成展示。经办人可将结构化查询生成账簿档案，并在账簿档案中&lt;账簿档案查看&gt;功能下进行浏览查看pdf文件。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总账-阅读模式</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实现总账基础信息的便捷查看，同时支持会计账簿的穿透式查询。用户可从总账信息点击凭证，穿透查看明细信息。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明细账</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此功能主要为采集的明细账信息，动态生成展示。经办人可将结构化查询生成账簿档案，并在账簿档案中&lt;账簿档案查看&gt;功能下进行浏览查看pdf文件。同时也可导出等。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余额表</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此功能主要为采集的余额表信息，动态生成展示。经办人可将结构化查询生成账簿档案，并在账簿档案中&lt;账簿档案查看&gt;功能下进行浏览查看pdf文件。同时也可导出等。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账簿档案查看</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此功能实现经办人在总预算会计档案中通过结构化查询总账、明细账、余额表并生成账簿档案，同时可在账簿档案&lt;账簿档案查看&gt;功能下进行pdf浏览查看。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900" w:type="dxa"/>
            <w:vMerge w:val="restart"/>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9</w:t>
            </w:r>
          </w:p>
        </w:tc>
        <w:tc>
          <w:tcPr>
            <w:tcW w:w="900" w:type="dxa"/>
            <w:vMerge w:val="restart"/>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档案归档</w:t>
            </w: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档案归档</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支持用户对整理好的档案进行归档操作。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归档前检查</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系统提供四性检测功能，可对档案真实性、完整性、可用性、安全性进行自动检测，从而满足电子会计资料管理要求。支持检测、调整、结果导出、查询以及打印等功能。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会计凭证归档</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会计凭证完成检查后，点击归档进行归档处理，归档处理过程是将归档信息进行打包加密（加盖归档签章）后生成电子档案包存入电子档案柜中，正式形成电子会计档案。归档处理可以单信息归档、多信息批量归档、取消归档、查看分册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1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会计账簿归档</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会计账簿归档一年归档一次，归档后形成相应的全宗号、案卷号等，归档后数据无法进行修改，需取消归档后在进行调整，同时会打上签章在线查看会计账簿（总账、明细账、余额表），非管理部门查看时可进行借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财务会计报告归档</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财务会计报告归档一年归档一次，归档后形成相应的全宗号、案卷号等，归档后数据无法进行修改，需取消归档后在进行调整，同时会打上签章在线查看财务会计报告（政府综合财务报告、决算报告等），非管理部门查看时可进行借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其他会计资料归档</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支持对其他会计资料归档。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restart"/>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档案基础要素</w:t>
            </w: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会计账套</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此功能实现会计档案数据采集后，会计账套信息的展示。便于经办人核对会计账套信息情况。查看档案年度下的账套，以及对应账套中的相关设置，例如：科目编码规则、科目级次等。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会计科目</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此功能实现会计档案数据采集后，会计科目信息的展示。便于经办人核对会计科目信息情况。查看档案年度下的科目，以及科目对应的辅助核算项。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业务要素</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此功能实现会计档案数据采集后，会计科目辅助核算项要素展示。便于经办人查看档案年度下的业务要素并核对辅助核算项要素信息情况。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会计期间</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此功能实现会计档案数据采集后，会计期间展示。便于经办人查看档案年度下的期间并核对会计期间信息情况。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restart"/>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档案查询</w:t>
            </w: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档案综合查询</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提供‘百度式’检索功能，此功能对所采集的数据，可进行全文检索，通过关键字输入进行综合查询，定位到所询内容，减轻经办人查询凭证、原始凭证、账簿档案时的时间，每次查询后保留查询历史记录，以便下次可以快捷检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电子档案柜</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提供电子档案柜，实现医疗电子票据等电子档案的归档入库功能。正式归档的电子档案进入电子档案柜管理。</w:t>
            </w:r>
            <w:r>
              <w:rPr>
                <w:rFonts w:hint="eastAsia" w:ascii="Times New Roman" w:hAnsi="Times New Roman" w:eastAsia="宋体" w:cs="Times New Roman"/>
                <w:kern w:val="0"/>
                <w:sz w:val="20"/>
                <w:szCs w:val="20"/>
                <w14:ligatures w14:val="none"/>
              </w:rPr>
              <w:br w:type="textWrapping"/>
            </w:r>
            <w:r>
              <w:rPr>
                <w:rFonts w:hint="eastAsia" w:ascii="Times New Roman" w:hAnsi="Times New Roman" w:eastAsia="宋体" w:cs="Times New Roman"/>
                <w:kern w:val="0"/>
                <w:sz w:val="20"/>
                <w:szCs w:val="20"/>
                <w14:ligatures w14:val="none"/>
              </w:rPr>
              <w:t>电子档案柜，具备电子档案的著录、标引等功能，形成电子档案目录。提供列表和图标索引目录，方便查阅。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1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财务档案阅读器下载</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档案阅读器对桌面端电子会计档案阅读软件。支持阅读会计凭证及原始凭证、会计账簿、财务会计报告、其他会计资料等电子会计档案。提供安全措施保障电子档案包的防篡改、真实性、安全性和可靠性。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电子档案清单</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对档案系统中的档案数据进行报表式的清单展示。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档案统计分析</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多个维度统计可视化分析汇总档案资产情况。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restart"/>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档案借阅</w:t>
            </w: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借阅申请</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此功能主要实现单位内部、外部单位对电子档案借阅申请。可按单位借阅流程，进行借阅申请、审批、办理流程，实现电子借阅。人员填写借阅申请，并提交档案管理经办人进行审核。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借阅审核</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此功能主要实现单位内部、外部单位对电子档案借阅申请审核，实现电子借阅。经办人审核处室人员提交的借阅申请。可进行审核通过或退回借阅申请操作。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借阅办理</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此功能主要实现对单位内部、外部单位的电子档案借阅申请进行办理。可以查看借阅审核通过的档案和下载借阅包（可离线借阅，离线借阅需安装档案阅读器）。经办人办理电子会计档案借阅。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在线阅览室</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此功能实现档案借阅人在线查看借阅的电子会计档案。国库处其他人员接收已借阅的电子会计档案并进行电子会计档案查看。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档案安全外带刻盘</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档案需要外带查阅时，将档案写入安全外带工具，过期自动销毁。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借阅日志</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此功能是查看借阅的日志信息。提供借阅记录统计查询。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纸质凭证借阅</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支持提交纸质凭证借阅申请与查看。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restart"/>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档案移交</w:t>
            </w: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档案移交申请</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此功能实现将完成归档的电子会计凭证档案按照电子档案移交的要求生成移交文件。同时要记录移交的相关信息，确保档案移交信息的完整性和不可抵赖性。将电子档案移交文件移交档案管理机构进行管理，同时移交的档案文件支持离线安全阅读。由经办人填写电子会计档案移交申请，并提交负责人进行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档案移交审核</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负责人审核经办人提交的移交申请。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档案移交登记</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经办人办理电子会计档案移交登记。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档案移交信息包下载</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此功能可将档案移交信息包进行下载操作，同时移交的档案文件支持离线安全阅读。下载移交档案包为zip压缩文件，解压后即可进行查看浏览pdf文件。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restart"/>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档案鉴定</w:t>
            </w: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档案鉴定申请</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经办人针对已到保管期限或无保存价值的档案进行鉴定并填写鉴定申请。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档案鉴定审核</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经办人针对已到保管期限或无保存价值的档案进行鉴定并填写鉴定申请。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档案鉴定办理</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经办人办理会计电子档案鉴定。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restart"/>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档案销毁</w:t>
            </w: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档案销毁</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经办人办理会计电子档案销毁。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00" w:type="dxa"/>
            <w:vMerge w:val="continue"/>
          </w:tcPr>
          <w:p>
            <w:pPr>
              <w:rPr>
                <w:rFonts w:ascii="Times New Roman" w:hAnsi="Times New Roman" w:eastAsia="宋体" w:cs="Times New Roman"/>
                <w:kern w:val="0"/>
                <w:sz w:val="20"/>
                <w:szCs w:val="20"/>
                <w14:ligatures w14:val="none"/>
              </w:rPr>
            </w:pPr>
          </w:p>
        </w:tc>
        <w:tc>
          <w:tcPr>
            <w:tcW w:w="900" w:type="dxa"/>
            <w:vMerge w:val="continue"/>
          </w:tcPr>
          <w:p>
            <w:pPr>
              <w:rPr>
                <w:rFonts w:ascii="Times New Roman" w:hAnsi="Times New Roman" w:eastAsia="宋体" w:cs="Times New Roman"/>
                <w:kern w:val="0"/>
                <w:sz w:val="20"/>
                <w:szCs w:val="20"/>
                <w14:ligatures w14:val="none"/>
              </w:rPr>
            </w:pP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档案回收站</w:t>
            </w:r>
          </w:p>
        </w:tc>
        <w:tc>
          <w:tcPr>
            <w:tcW w:w="940" w:type="dxa"/>
            <w:vMerge w:val="continue"/>
          </w:tcPr>
          <w:p>
            <w:pPr>
              <w:rPr>
                <w:rFonts w:ascii="Times New Roman" w:hAnsi="Times New Roman" w:eastAsia="宋体" w:cs="Times New Roman"/>
                <w:kern w:val="0"/>
                <w:sz w:val="20"/>
                <w:szCs w:val="20"/>
                <w14:ligatures w14:val="none"/>
              </w:rPr>
            </w:pP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电子档案销毁后，经办人还可在档案回收站将档案进行恢复等操作。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900"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10</w:t>
            </w:r>
          </w:p>
        </w:tc>
        <w:tc>
          <w:tcPr>
            <w:tcW w:w="900"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接口对接</w:t>
            </w:r>
          </w:p>
        </w:tc>
        <w:tc>
          <w:tcPr>
            <w:tcW w:w="911"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接口</w:t>
            </w:r>
          </w:p>
        </w:tc>
        <w:tc>
          <w:tcPr>
            <w:tcW w:w="940"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w:t>
            </w:r>
          </w:p>
        </w:tc>
        <w:tc>
          <w:tcPr>
            <w:tcW w:w="6583" w:type="dxa"/>
          </w:tcPr>
          <w:p>
            <w:pPr>
              <w:rPr>
                <w:rFonts w:hint="eastAsia"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对接博思电子票据系统</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FE65A6"/>
    <w:multiLevelType w:val="multilevel"/>
    <w:tmpl w:val="0AFE65A6"/>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0F142CB7"/>
    <w:multiLevelType w:val="multilevel"/>
    <w:tmpl w:val="0F142CB7"/>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6640683"/>
    <w:multiLevelType w:val="multilevel"/>
    <w:tmpl w:val="26640683"/>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86F3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39"/>
    <w:pPr>
      <w:widowControl w:val="0"/>
      <w:jc w:val="both"/>
    </w:pPr>
    <w:rPr>
      <w:rFonts w:ascii="Times New Roman" w:hAnsi="Times New Roman" w:eastAsia="宋体"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2025-07-02T00:20:18Z</dcterms:created>
  <dc:creator>ThinkPad</dc:creator>
  <cp:lastModifiedBy>ThinkPad</cp:lastModifiedBy>
  <dcterms:modified xsi:type="dcterms:W3CDTF">2025-07-02T00:21:24Z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DEBF749F220B4D51B1A0C2B87794447D</vt:lpwstr>
  </property>
</Properties>
</file>