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sz w:val="24"/>
          <w:szCs w:val="24"/>
        </w:rPr>
        <w:pict>
          <v:rect id="_x0000_i1025" o:spt="1" style="height:0.75pt;width:0pt;" fillcolor="#F8FAFF" filled="t" stroked="f" coordsize="21600,21600" o:hr="t" o:hrstd="t" o:hrnoshade="t" o:hralign="center">
            <v:path/>
            <v:fill on="t" focussize="0,0"/>
            <v:stroke on="f"/>
            <v:imagedata o:title=""/>
            <o:lock v:ext="edit"/>
            <w10:wrap type="none"/>
            <w10:anchorlock/>
          </v:rect>
        </w:pict>
      </w:r>
      <w:r>
        <w:rPr>
          <w:rFonts w:hint="eastAsia" w:ascii="宋体" w:hAnsi="宋体" w:eastAsia="宋体" w:cs="宋体"/>
          <w:b/>
          <w:bCs/>
          <w:sz w:val="24"/>
          <w:szCs w:val="24"/>
        </w:rPr>
        <w:t>电子会计档案-收入端运营服务服务内容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pict>
          <v:rect id="_x0000_i1026" o:spt="1" style="height:0.75pt;width:0pt;" fillcolor="#F8FAFF" filled="t" stroked="f" coordsize="21600,21600" o:hr="t" o:hrstd="t" o:hrnoshade="t" o:hralign="center">
            <v:path/>
            <v:fill on="t" focussize="0,0"/>
            <v:stroke on="f"/>
            <v:imagedata o:title=""/>
            <o:lock v:ext="edit"/>
            <w10:wrap type="none"/>
            <w10:anchorlock/>
          </v:rect>
        </w:pic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787"/>
        <w:gridCol w:w="857"/>
        <w:gridCol w:w="878"/>
        <w:gridCol w:w="5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234" w:type="dxa"/>
            <w:gridSpan w:val="5"/>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电子会计档案系统-收入端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序号</w:t>
            </w:r>
          </w:p>
        </w:tc>
        <w:tc>
          <w:tcPr>
            <w:tcW w:w="90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分类</w:t>
            </w: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菜单</w:t>
            </w: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功能</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基础信息配置</w:t>
            </w:r>
          </w:p>
        </w:tc>
        <w:tc>
          <w:tcPr>
            <w:tcW w:w="911"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实施配置管理</w:t>
            </w: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智能组件规则</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智能组件规则可以通过组件规则的设置，将各类凭证的关联关系进行配置，从而通过规则自动化的将来源于不同系统、不同类别的电子凭证进行组件，从而节约人员整理时间，便于进行后续整理、查阅工作。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档案年度初始化</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便于用户对不同年份的档案管理，对单位的档案归档年度进行初始化，设置需要归档的年度。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版式文档设计器</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可以设计不同的与电子会计档案相关的版式文件，如记账凭证、原始凭证、账簿等。在版式、版面、字体、字号等方面与纸质文件保持完全一致。设计版式文件简单方便，界面美观易读。方便用户快速准确的打开和查看电子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原始凭证类型</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支持用户对原始凭证类型进行编辑，从而方便对新增原始凭证类别进行配置。</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同时，根据本级要求，支持对原始凭证类型向下级单位下发，满足多级管理要求。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水印设置</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系统查看或者借阅时可配置水印，有效声明凭证来源，防止他人未经授权使用或盗用。</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电子会计档案查看、借阅、打印等支持增加动态水印+静态水印；</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此功能用于设置单位水印，包含系统水印、借阅水印，保障档案信息查询、借阅安全。用于查看凭证，账簿的档案水印。</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借阅水印可根据不同要素展示动态配置水印显示内容，如显示“部门”、“手机号”、“身份证号”等。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记账凭证配置</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记账凭证配置可根据用户不同需求，对数据源、展现形式等自由设置。</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支持对待整理或已经归档的记账凭证各项属性进行配置，比如是否允许查看未授权账套数据、记账凭证科目明细展示方式、电子档案柜封面配置、查询记账凭证排序规则、记账凭证归档分册方式等。支持账套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档案归档范围配置</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档案归档范围配置可根据用户不同需求，自定义归档范围。从而应对凭证归档范围的变化。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审批流程定义</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提供申请审批流程自定义。满足票据归档、档案借阅、档案移交等审批流程定义。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账套权限管理</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设置用户账套权限，确保只有授权人员才能访问特定的财务信息。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归档适配器下载</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针对多种系统，提供不同归档适配器版本，包含window、mac、linux。从而便于不同用户使用。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脱敏配置</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脱敏内容配置功能，支持根据角色、模块，对不同的人员设置不同的脱敏字段。相关人员在查看、下载、打印档案时，脱敏字段会被星号加密，无法查看。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档案双重备份配置</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用户可根据单位情况，选择是否使用文件传输协议（FTP）将数据从本地计算机或服务器传输到远程服务器。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数字签名印章</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数字签名是一种有效的措施，防止档案被篡改。此功能提供单位机构电子签章或个人签章签名的管理。为档案管理各环节提供有效措施，电子档案防篡改。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档案基础信息管理</w:t>
            </w: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档案室</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针对多个档案室、档案室变更的情况，支持用户对档案室信息进行维护。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档案存储位置</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存储位置提供档案盒位置记录功能，便于用户查找。针对纸质档案盒，用户可进行档案存储位置的编辑。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全宗信息配置</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支持对档案的全宗信息进行描述和配置。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目录信息配置</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支持按年度、按单位生成档案目录。列示已经完成归档的项目名称清单。</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具备各门类纸质档案管理功能，包括对电子档案和纸质档案同步编目、排序、编制档号等功能。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案卷管理</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用户可根据需要增添不同案卷类型，满足多样化的案卷管理需求。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人工著录</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根据标准化的著录规则，创建描述资源的元数据集，为资源管理提供基础信息。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会计档案保管期限表</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根据会计资料保管期限，系统展示各类会计档案保管期限。同时支持用户选择是否需要提醒。从人找档案期限转变为到期档案找人。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系统管理</w:t>
            </w: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机构管理</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用户可对机构信息进行维护。对单位机构进行管理，维护机构编码、机构名称、联系人等机构基础信息。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用户管理</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支持对用户账号进行管理，创建不同的账号信息，分配给不同人员使用。</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单位可根据单位实际业务情况，创建本单位的用户信息，对单位用户进行新增、修改等操作。</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单位档案管理员：完成对电子会计档案的入库、审核等综合管理；</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单位会计人员：对电子会计档案查询、利用、统计分析；</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普通用户：电子会计档案查阅；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权限管理</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按照用户、岗位、机构的不同，可根据单位机构的实际需求进行授权设置。通过对用户、岗位或机构的绑定，允许其办理或查看相应的事项或数据，严格把控数据权限。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4</w:t>
            </w: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档案目录管理</w:t>
            </w: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档案档号自定义</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按单位档案的规则自定义设置档号。设置全宗号以及档案门类，在档案归档后以及电子档案柜中体现档号。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审批流程定义</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提供申请审批流程自定义。满足档案归档、档案借阅、档案移交等审批流程定义。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电子签名管理</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提供单位机构电子签章或个人签章签名的管理。为档案管理各环节提供有效措施，电子档案防篡改。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日志服务</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针对一些关键业务增加的业务日志服务，该服务可以记录业务发生的整个过程，主要包含三部分内容，日志API服务、日志管理、日志统计。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通知消息服务</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系统提供统一的通知消息服务，对系统用户进行通知，主要包括：系统内消息、短信、邮件等，并且通知方式可以根据项目需要进行扩展，如与集成门户消息等方式。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数据接口管理</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设计档案电子化处理的功能，开放主要接口，可实现与其他系统间的衔接，支持中间表和API模式等方式。</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按照业务类型设置外部数据源、各类档案数据项、数据采集方式等。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5</w:t>
            </w:r>
          </w:p>
        </w:tc>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档案资料采集</w:t>
            </w:r>
          </w:p>
        </w:tc>
        <w:tc>
          <w:tcPr>
            <w:tcW w:w="911"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会计资料采集</w:t>
            </w:r>
          </w:p>
        </w:tc>
        <w:tc>
          <w:tcPr>
            <w:tcW w:w="94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审计国标2010数据导入</w:t>
            </w:r>
          </w:p>
        </w:tc>
        <w:tc>
          <w:tcPr>
            <w:tcW w:w="6583"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对财务数据的采集，能够按审计国标2010数据标准格式进行采集。节约采集成本。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归档适配器在线导入</w:t>
            </w:r>
          </w:p>
        </w:tc>
        <w:tc>
          <w:tcPr>
            <w:tcW w:w="6583"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提供成熟、便捷的在线档案采集工具，数据采集方式，配置，自动采集方式，提供在线导入方案。用于提取各个厂商的核算数据以及原始凭证数据，生成电子会计档案。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影像化凭证档案采集</w:t>
            </w:r>
          </w:p>
        </w:tc>
        <w:tc>
          <w:tcPr>
            <w:tcW w:w="6583"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系统提供纸质资料影像文件上传接收处理，提供OCR识别，影像文件保存。</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对纸质原始凭证进行上传扫描文件（文件格式支持pdf、jpg、png、jpeg等数据格式），通过对已上传的纸质原始凭证进行分类、标记、排序、装订，并将会计凭证日期、凭证字号信息录入于系统中，建立纸质原始凭证与会计凭证的对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6</w:t>
            </w: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档案材料采集</w:t>
            </w: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数据采集设置</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通过此功能对从外部系统采集会计档案，对纸质原始凭证进行电子化管理。按照业务类型设置外部数据源、各类档案数据项、数据采集方式等。</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按照数据接口管理功能定义的各类档案数据，可通过数据库定时自动抽取、或是人工触发方式采集数据。</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数据采集日志管理。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归档适配器在线采集</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此功能主要进行在线数据采集。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凭证数据采集</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根据系统设置的同步周期，在系统后台自动将电子化的原始凭证资料进行同步采集。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账务数据采集</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系统提供对接财务软件系统或对接审计标准格式数据两种方式，进行账务数据采集。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纸质资料影像化采集</w:t>
            </w:r>
          </w:p>
        </w:tc>
        <w:tc>
          <w:tcPr>
            <w:tcW w:w="6583"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系统提供纸质资料影像文件上传接收处理，提供OCR识别，影像文件保存。</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对纸质原始凭证进行上传扫描文件（文件格式支持pdf、jpg、png、jpeg等数据格式），通过对已上传的纸质原始凭证进行分类、标记、排序、装订，并将会计凭证日期、凭证字号信息录入于系统中，建立纸质原始凭证与会计凭证的对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7</w:t>
            </w:r>
          </w:p>
        </w:tc>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记账凭证资料</w:t>
            </w: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记账凭证</w:t>
            </w:r>
          </w:p>
        </w:tc>
        <w:tc>
          <w:tcPr>
            <w:tcW w:w="94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用户可在系统中便捷查看每月记账凭证，可查看电子记账凭证以及相关凭证附件，同时支持对附件进行上传，便于随时补充。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记账凭证附件检查</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系统自动根据附件数量，检查期间内记账凭证和原始凭证的数量是否一致，从而便于管理人员核对完整性。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凭证汇总表</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支持查看电子凭证汇总表档案。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纸质档案存放位置</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设置档案存放物理位置。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历史纸质凭证目录</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支持用户导入历史纸质凭证目录。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纸质凭证位置检索</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是根据已经导入的目录，检索纸质凭证的位置，支持挑选凭证并导出。在纸质凭证目录Excel导入后，根据数据生成纸质凭证的具体位置，并可以根据挑选需要检索的纸质凭证生成Excel文件，方便经办人进行查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8</w:t>
            </w:r>
          </w:p>
        </w:tc>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会计账簿资料</w:t>
            </w: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总账-打印模式</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此功能主要为采集的总账信息，动态生成展示。经办人可将结构化查询生成账簿档案，并在账簿档案中&lt;账簿档案查看&gt;功能下进行浏览查看pdf文件。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总账-阅读模式</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实现总账基础信息的便捷查看，同时支持会计账簿的穿透式查询。用户可从总账信息点击凭证，穿透查看明细信息。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明细账</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此功能主要为采集的明细账信息，动态生成展示。经办人可将结构化查询生成账簿档案，并在账簿档案中&lt;账簿档案查看&gt;功能下进行浏览查看pdf文件。同时也可导出等。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余额表</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此功能主要为采集的余额表信息，动态生成展示。经办人可将结构化查询生成账簿档案，并在账簿档案中&lt;账簿档案查看&gt;功能下进行浏览查看pdf文件。同时也可导出等。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账簿档案查看</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此功能实现经办人在总预算会计档案中通过结构化查询总账、明细账、余额表并生成账簿档案，同时可在账簿档案&lt;账簿档案查看&gt;功能下进行pdf浏览查看。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9</w:t>
            </w:r>
          </w:p>
        </w:tc>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档案归档</w:t>
            </w: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档案归档</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支持用户对整理好的档案进行归档操作。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归档前检查</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系统提供四性检测功能，可对档案真实性、完整性、可用性、安全性进行自动检测，从而满足电子会计资料管理要求。支持检测、调整、结果导出、查询以及打印等功能。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会计凭证归档</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会计凭证完成检查后，点击归档进行归档处理，归档处理过程是将归档信息进行打包加密（加盖归档签章）后生成电子档案包存入电子档案柜中，正式形成电子会计档案。归档处理可以单信息归档、多信息批量归档、取消归档、查看分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会计账簿归档</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会计账簿归档一年归档一次，归档后形成相应的全宗号、案卷号等，归档后数据无法进行修改，需取消归档后在进行调整，同时会打上签章在线查看会计账簿（总账、明细账、余额表），非管理部门查看时可进行借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财务会计报告归档</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财务会计报告归档一年归档一次，归档后形成相应的全宗号、案卷号等，归档后数据无法进行修改，需取消归档后在进行调整，同时会打上签章在线查看财务会计报告（政府综合财务报告、决算报告等），非管理部门查看时可进行借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其他会计资料归档</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支持对其他会计资料归档。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档案基础要素</w:t>
            </w: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会计账套</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此功能实现会计档案数据采集后，会计账套信息的展示。便于经办人核对会计账套信息情况。查看档案年度下的账套，以及对应账套中的相关设置，例如：科目编码规则、科目级次等。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会计科目</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此功能实现会计档案数据采集后，会计科目信息的展示。便于经办人核对会计科目信息情况。查看档案年度下的科目，以及科目对应的辅助核算项。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业务要素</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此功能实现会计档案数据采集后，会计科目辅助核算项要素展示。便于经办人查看档案年度下的业务要素并核对辅助核算项要素信息情况。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会计期间</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此功能实现会计档案数据采集后，会计期间展示。便于经办人查看档案年度下的期间并核对会计期间信息情况。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档案查询</w:t>
            </w: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档案综合查询</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提供‘百度式’检索功能，此功能对所采集的数据，可进行全文检索，通过关键字输入进行综合查询，定位到所询内容，减轻经办人查询凭证、原始凭证、账簿档案时的时间，每次查询后保留查询历史记录，以便下次可以快捷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电子档案柜</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提供电子档案柜，实现医疗电子票据等电子档案的归档入库功能。正式归档的电子档案进入电子档案柜管理。</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电子档案柜，具备电子档案的著录、标引等功能，形成电子档案目录。提供列表和图标索引目录，方便查阅。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财务档案阅读器下载</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档案阅读器对桌面端电子会计档案阅读软件。支持阅读会计凭证及原始凭证、会计账簿、财务会计报告、其他会计资料等电子会计档案。提供安全措施保障电子档案包的防篡改、真实性、安全性和可靠性。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电子档案清单</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对档案系统中的档案数据进行报表式的清单展示。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档案统计分析</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多个维度统计可视化分析汇总档案资产情况。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档案借阅</w:t>
            </w: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借阅申请</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此功能主要实现单位内部、外部单位对电子档案借阅申请。可按单位借阅流程，进行借阅申请、审批、办理流程，实现电子借阅。人员填写借阅申请，并提交档案管理经办人进行审核。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借阅审核</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此功能主要实现单位内部、外部单位对电子档案借阅申请审核，实现电子借阅。经办人审核处室人员提交的借阅申请。可进行审核通过或退回借阅申请操作。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借阅办理</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此功能主要实现对单位内部、外部单位的电子档案借阅申请进行办理。可以查看借阅审核通过的档案和下载借阅包（可离线借阅，离线借阅需安装档案阅读器）。经办人办理电子会计档案借阅。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在线阅览室</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此功能实现档案借阅人在线查看借阅的电子会计档案。国库处其他人员接收已借阅的电子会计档案并进行电子会计档案查看。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档案安全外带刻盘</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档案需要外带查阅时，将档案写入安全外带工具，过期自动销毁。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借阅日志</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此功能是查看借阅的日志信息。提供借阅记录统计查询。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纸质凭证借阅</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支持提交纸质凭证借阅申请与查看。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档案移交</w:t>
            </w: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档案移交申请</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实现将完成归档的电子会计凭证档案按照电子档案移交的要求生成移交文件。同时要记录移交的相关信息，确保档案移交信息的完整性和不可抵赖性。将电子档案移交文件移交档案管理机构进行管理，同时移交的档案文件支持离线安全阅读。由经办人填写电子会计档案移交申请，并提交负责人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档案移交审核</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负责人审核经办人提交的移交申请。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档案移交登记</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经办人办理电子会计档案移交登记。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档案移交信息包下载</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此功能可将档案移交信息包进行下载操作，同时移交的档案文件支持离线安全阅读。下载移交档案包为zip压缩文件，解压后即可进行查看浏览pdf文件。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档案鉴定</w:t>
            </w: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档案鉴定申请</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经办人针对已到保管期限或无保存价值的档案进行鉴定并填写鉴定申请。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档案鉴定审核</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经办人针对已到保管期限或无保存价值的档案进行鉴定并填写鉴定申请。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档案鉴定办理</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经办人办理会计电子档案鉴定。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档案销毁</w:t>
            </w: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档案销毁</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经办人办理会计电子档案销毁。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0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档案回收站</w:t>
            </w:r>
          </w:p>
        </w:tc>
        <w:tc>
          <w:tcPr>
            <w:tcW w:w="940"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电子档案销毁后，经办人还可在档案回收站将档案进行恢复等操作。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0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10</w:t>
            </w:r>
          </w:p>
        </w:tc>
        <w:tc>
          <w:tcPr>
            <w:tcW w:w="90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接口对接</w:t>
            </w:r>
          </w:p>
        </w:tc>
        <w:tc>
          <w:tcPr>
            <w:tcW w:w="91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接口</w:t>
            </w:r>
          </w:p>
        </w:tc>
        <w:tc>
          <w:tcPr>
            <w:tcW w:w="940"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w:t>
            </w:r>
          </w:p>
        </w:tc>
        <w:tc>
          <w:tcPr>
            <w:tcW w:w="6583"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对接博思电子票据系统</w:t>
            </w: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u w:val="singl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D72"/>
    <w:rsid w:val="000A73CF"/>
    <w:rsid w:val="000F42CE"/>
    <w:rsid w:val="001263C2"/>
    <w:rsid w:val="00151255"/>
    <w:rsid w:val="00154D72"/>
    <w:rsid w:val="001A7FA7"/>
    <w:rsid w:val="001C1F14"/>
    <w:rsid w:val="0020598C"/>
    <w:rsid w:val="00222F60"/>
    <w:rsid w:val="00225F5A"/>
    <w:rsid w:val="0029121F"/>
    <w:rsid w:val="003678FD"/>
    <w:rsid w:val="0038581E"/>
    <w:rsid w:val="003D6E7E"/>
    <w:rsid w:val="00430E17"/>
    <w:rsid w:val="004333FB"/>
    <w:rsid w:val="00455E74"/>
    <w:rsid w:val="00537581"/>
    <w:rsid w:val="005545F5"/>
    <w:rsid w:val="00576F98"/>
    <w:rsid w:val="005A0B98"/>
    <w:rsid w:val="005A71DF"/>
    <w:rsid w:val="005B497A"/>
    <w:rsid w:val="005D5386"/>
    <w:rsid w:val="006126BD"/>
    <w:rsid w:val="006A0B56"/>
    <w:rsid w:val="006C6007"/>
    <w:rsid w:val="006F1744"/>
    <w:rsid w:val="00704261"/>
    <w:rsid w:val="00822D54"/>
    <w:rsid w:val="00856BB2"/>
    <w:rsid w:val="008577FF"/>
    <w:rsid w:val="008C74FF"/>
    <w:rsid w:val="008C78A1"/>
    <w:rsid w:val="008E4617"/>
    <w:rsid w:val="00905A29"/>
    <w:rsid w:val="009335D1"/>
    <w:rsid w:val="009D7D8C"/>
    <w:rsid w:val="009F08AB"/>
    <w:rsid w:val="00A50655"/>
    <w:rsid w:val="00A62CA9"/>
    <w:rsid w:val="00AC0415"/>
    <w:rsid w:val="00BD30CB"/>
    <w:rsid w:val="00C120A6"/>
    <w:rsid w:val="00C5388D"/>
    <w:rsid w:val="00CB3660"/>
    <w:rsid w:val="00CC0FCF"/>
    <w:rsid w:val="00D10B5B"/>
    <w:rsid w:val="00DB2BA9"/>
    <w:rsid w:val="00DB7622"/>
    <w:rsid w:val="00E969CE"/>
    <w:rsid w:val="00EF55B3"/>
    <w:rsid w:val="00F712B2"/>
    <w:rsid w:val="051F4FE6"/>
    <w:rsid w:val="070950C6"/>
    <w:rsid w:val="09331609"/>
    <w:rsid w:val="10532276"/>
    <w:rsid w:val="16452F94"/>
    <w:rsid w:val="1CD158E9"/>
    <w:rsid w:val="1E240187"/>
    <w:rsid w:val="204B116A"/>
    <w:rsid w:val="2A0C2525"/>
    <w:rsid w:val="2E15752B"/>
    <w:rsid w:val="2FFE2916"/>
    <w:rsid w:val="34DE1F60"/>
    <w:rsid w:val="431C3C97"/>
    <w:rsid w:val="48C36335"/>
    <w:rsid w:val="4A360D81"/>
    <w:rsid w:val="4EAA4F4D"/>
    <w:rsid w:val="509F3BE5"/>
    <w:rsid w:val="53EC4EC8"/>
    <w:rsid w:val="54FE5463"/>
    <w:rsid w:val="597A115C"/>
    <w:rsid w:val="5A9E26D5"/>
    <w:rsid w:val="6EAE6DA7"/>
    <w:rsid w:val="6F431B07"/>
    <w:rsid w:val="74A36F04"/>
    <w:rsid w:val="7655381E"/>
    <w:rsid w:val="775A10A2"/>
    <w:rsid w:val="7D790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tabs>
        <w:tab w:val="left" w:pos="567"/>
      </w:tabs>
      <w:ind w:firstLine="420" w:firstLineChars="100"/>
    </w:pPr>
    <w:rPr>
      <w:rFonts w:ascii="Calibri" w:hAnsi="Calibri"/>
    </w:rPr>
  </w:style>
  <w:style w:type="paragraph" w:styleId="3">
    <w:name w:val="Body Text"/>
    <w:basedOn w:val="1"/>
    <w:next w:val="4"/>
    <w:qFormat/>
    <w:uiPriority w:val="0"/>
    <w:rPr>
      <w:rFonts w:eastAsia="仿宋_GB2312"/>
      <w:sz w:val="28"/>
    </w:rPr>
  </w:style>
  <w:style w:type="paragraph" w:styleId="4">
    <w:name w:val="Body Text 2"/>
    <w:basedOn w:val="1"/>
    <w:qFormat/>
    <w:uiPriority w:val="0"/>
    <w:pPr>
      <w:jc w:val="center"/>
    </w:pPr>
    <w:rPr>
      <w:b/>
      <w:bCs/>
      <w:sz w:val="72"/>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table" w:styleId="10">
    <w:name w:val="Table Grid"/>
    <w:basedOn w:val="9"/>
    <w:qFormat/>
    <w:uiPriority w:val="39"/>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5"/>
    <w:qFormat/>
    <w:uiPriority w:val="9"/>
    <w:rPr>
      <w:rFonts w:ascii="Times New Roman" w:hAnsi="Times New Roman" w:eastAsia="宋体" w:cs="Times New Roman"/>
      <w:b/>
      <w:bCs/>
      <w:kern w:val="44"/>
      <w:sz w:val="44"/>
      <w:szCs w:val="44"/>
    </w:rPr>
  </w:style>
  <w:style w:type="paragraph" w:styleId="13">
    <w:name w:val="List Paragraph"/>
    <w:basedOn w:val="1"/>
    <w:qFormat/>
    <w:uiPriority w:val="34"/>
    <w:pPr>
      <w:ind w:firstLine="420" w:firstLineChars="200"/>
    </w:pPr>
  </w:style>
  <w:style w:type="character" w:customStyle="1" w:styleId="14">
    <w:name w:val="页眉 字符"/>
    <w:basedOn w:val="11"/>
    <w:link w:val="7"/>
    <w:qFormat/>
    <w:uiPriority w:val="99"/>
    <w:rPr>
      <w:rFonts w:ascii="Times New Roman" w:hAnsi="Times New Roman" w:eastAsia="宋体" w:cs="Times New Roman"/>
      <w:sz w:val="18"/>
      <w:szCs w:val="18"/>
    </w:rPr>
  </w:style>
  <w:style w:type="character" w:customStyle="1" w:styleId="15">
    <w:name w:val="页脚 字符"/>
    <w:basedOn w:val="11"/>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2EB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217</Words>
  <Characters>1237</Characters>
  <Lines>10</Lines>
  <Paragraphs>2</Paragraphs>
  <TotalTime>0</TotalTime>
  <ScaleCrop>false</ScaleCrop>
  <LinksUpToDate>false</LinksUpToDate>
  <CharactersWithSpaces>1452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2025-08-18T06:59:00Z</dcterms:created>
  <dc:creator>win</dc:creator>
  <cp:lastModifiedBy>suo</cp:lastModifiedBy>
  <cp:lastPrinted>2025-11-28T02:37:00Z</cp:lastPrinted>
  <dcterms:modified xsi:type="dcterms:W3CDTF">2026-04-17T08:46:05Z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eyJoZGlkIjoiMjgxNzE0ODg1YTMyNjRhYzJiYTJlOTIwNTMyZjQwZTYiLCJ1c2VySWQiOiI3MDI1NjgxNDkifQ==</vt:lpwstr>
  </property>
  <property fmtid="{D5CDD505-2E9C-101B-9397-08002B2CF9AE}" pid="3" name="KSOProductBuildVer">
    <vt:lpwstr>2052-11.8.2.10912</vt:lpwstr>
  </property>
  <property fmtid="{D5CDD505-2E9C-101B-9397-08002B2CF9AE}" pid="4" name="ICV">
    <vt:lpwstr>F109070AFF4A4AAB9BF1FFB43CD3B4B1_13</vt:lpwstr>
  </property>
</Properties>
</file>