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DEC3">
      <w:pPr>
        <w:widowControl/>
        <w:rPr>
          <w:rFonts w:ascii="宋体" w:hAnsi="宋体" w:eastAsia="宋体" w:cs="宋体"/>
          <w:b/>
          <w:sz w:val="22"/>
        </w:rPr>
      </w:pPr>
      <w:r>
        <w:rPr>
          <w:rFonts w:hint="eastAsia" w:ascii="宋体" w:hAnsi="宋体" w:eastAsia="宋体" w:cs="宋体"/>
          <w:b/>
          <w:sz w:val="22"/>
        </w:rPr>
        <w:t>附件2：</w:t>
      </w:r>
    </w:p>
    <w:p w14:paraId="60D4045A">
      <w:pPr>
        <w:jc w:val="center"/>
        <w:rPr>
          <w:rFonts w:ascii="宋体" w:hAnsi="宋体" w:eastAsia="宋体" w:cs="宋体"/>
          <w:b/>
          <w:sz w:val="28"/>
          <w:szCs w:val="28"/>
        </w:rPr>
      </w:pPr>
      <w:r>
        <w:rPr>
          <w:rFonts w:hint="eastAsia" w:ascii="宋体" w:hAnsi="宋体" w:eastAsia="宋体" w:cs="宋体"/>
          <w:b/>
          <w:sz w:val="28"/>
          <w:szCs w:val="28"/>
        </w:rPr>
        <w:t>可疑且非预期严重不良反应（SUSAR）递交信</w:t>
      </w:r>
    </w:p>
    <w:p w14:paraId="1A6E5855">
      <w:pPr>
        <w:jc w:val="left"/>
        <w:rPr>
          <w:b/>
          <w:sz w:val="22"/>
        </w:rPr>
      </w:pPr>
      <w:r>
        <w:rPr>
          <w:rFonts w:hint="eastAsia"/>
          <w:b/>
          <w:sz w:val="22"/>
        </w:rPr>
        <w:t>中国医学科学院整形外科医院伦理委员会：</w:t>
      </w:r>
    </w:p>
    <w:p w14:paraId="2AFACE82">
      <w:pPr>
        <w:jc w:val="left"/>
        <w:rPr>
          <w:b/>
          <w:sz w:val="24"/>
          <w:szCs w:val="24"/>
        </w:rPr>
      </w:pPr>
      <w:r>
        <w:rPr>
          <w:rFonts w:hint="eastAsia"/>
          <w:b/>
          <w:sz w:val="24"/>
          <w:szCs w:val="24"/>
        </w:rPr>
        <w:t xml:space="preserve">                             </w:t>
      </w:r>
    </w:p>
    <w:p w14:paraId="32603177">
      <w:pPr>
        <w:spacing w:line="360" w:lineRule="auto"/>
        <w:jc w:val="left"/>
        <w:rPr>
          <w:sz w:val="24"/>
          <w:szCs w:val="24"/>
        </w:rPr>
      </w:pPr>
      <w:r>
        <w:rPr>
          <w:rFonts w:hint="eastAsia"/>
          <w:b/>
          <w:sz w:val="24"/>
          <w:szCs w:val="24"/>
        </w:rPr>
        <w:t xml:space="preserve"> </w:t>
      </w:r>
      <w:r>
        <w:rPr>
          <w:rFonts w:hint="eastAsia"/>
          <w:b/>
          <w:sz w:val="22"/>
        </w:rPr>
        <w:t xml:space="preserve">  </w:t>
      </w:r>
      <w:r>
        <w:rPr>
          <w:rFonts w:hint="eastAsia"/>
          <w:b/>
          <w:sz w:val="22"/>
          <w:u w:val="single"/>
        </w:rPr>
        <w:t xml:space="preserve">    （</w:t>
      </w:r>
      <w:r>
        <w:rPr>
          <w:rFonts w:hint="eastAsia"/>
          <w:sz w:val="22"/>
          <w:u w:val="single"/>
        </w:rPr>
        <w:t>申办方</w:t>
      </w:r>
      <w:r>
        <w:rPr>
          <w:rFonts w:hint="eastAsia"/>
          <w:b/>
          <w:sz w:val="22"/>
          <w:u w:val="single"/>
        </w:rPr>
        <w:t>）</w:t>
      </w:r>
      <w:r>
        <w:rPr>
          <w:rFonts w:hint="eastAsia"/>
          <w:sz w:val="22"/>
          <w:u w:val="single"/>
        </w:rPr>
        <w:t xml:space="preserve">     </w:t>
      </w:r>
      <w:r>
        <w:rPr>
          <w:rFonts w:hint="eastAsia"/>
          <w:sz w:val="22"/>
        </w:rPr>
        <w:t>在贵院</w:t>
      </w:r>
      <w:r>
        <w:rPr>
          <w:rFonts w:hint="eastAsia"/>
          <w:sz w:val="22"/>
          <w:u w:val="single"/>
        </w:rPr>
        <w:t xml:space="preserve">                </w:t>
      </w:r>
      <w:r>
        <w:rPr>
          <w:rFonts w:hint="eastAsia"/>
          <w:sz w:val="22"/>
        </w:rPr>
        <w:t>专业开展X项（项目编号：</w:t>
      </w:r>
      <w:r>
        <w:rPr>
          <w:rFonts w:hint="eastAsia"/>
          <w:sz w:val="22"/>
          <w:u w:val="single"/>
        </w:rPr>
        <w:t xml:space="preserve">        </w:t>
      </w:r>
      <w:r>
        <w:rPr>
          <w:rFonts w:hint="eastAsia"/>
          <w:sz w:val="22"/>
        </w:rPr>
        <w:t>）关于XXX（药物名称）的X例可疑且非预期严重不良反应，详情见严重不良事件报告表，摘要如下：</w:t>
      </w:r>
    </w:p>
    <w:tbl>
      <w:tblPr>
        <w:tblStyle w:val="4"/>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605"/>
        <w:gridCol w:w="1348"/>
        <w:gridCol w:w="1340"/>
        <w:gridCol w:w="1210"/>
        <w:gridCol w:w="1734"/>
        <w:gridCol w:w="1231"/>
      </w:tblGrid>
      <w:tr w14:paraId="1A0D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tcPr>
          <w:p w14:paraId="5A2C9CA2">
            <w:pPr>
              <w:spacing w:line="480" w:lineRule="auto"/>
              <w:jc w:val="center"/>
              <w:rPr>
                <w:bCs/>
                <w:szCs w:val="21"/>
              </w:rPr>
            </w:pPr>
            <w:r>
              <w:rPr>
                <w:rFonts w:hint="eastAsia"/>
                <w:bCs/>
                <w:szCs w:val="21"/>
              </w:rPr>
              <w:t>受试者编号</w:t>
            </w:r>
          </w:p>
        </w:tc>
        <w:tc>
          <w:tcPr>
            <w:tcW w:w="1605" w:type="dxa"/>
          </w:tcPr>
          <w:p w14:paraId="4F473AA7">
            <w:pPr>
              <w:jc w:val="center"/>
              <w:rPr>
                <w:bCs/>
                <w:szCs w:val="21"/>
              </w:rPr>
            </w:pPr>
            <w:r>
              <w:rPr>
                <w:rFonts w:hint="eastAsia"/>
                <w:bCs/>
                <w:szCs w:val="21"/>
              </w:rPr>
              <w:t>发生国家及  研究中心名称</w:t>
            </w:r>
          </w:p>
        </w:tc>
        <w:tc>
          <w:tcPr>
            <w:tcW w:w="1348" w:type="dxa"/>
          </w:tcPr>
          <w:p w14:paraId="3F19B76B">
            <w:pPr>
              <w:spacing w:line="480" w:lineRule="auto"/>
              <w:jc w:val="center"/>
              <w:rPr>
                <w:bCs/>
                <w:szCs w:val="21"/>
              </w:rPr>
            </w:pPr>
            <w:r>
              <w:rPr>
                <w:rFonts w:hint="eastAsia"/>
                <w:bCs/>
                <w:szCs w:val="21"/>
              </w:rPr>
              <w:t>SUSAR诊断</w:t>
            </w:r>
          </w:p>
        </w:tc>
        <w:tc>
          <w:tcPr>
            <w:tcW w:w="1340" w:type="dxa"/>
          </w:tcPr>
          <w:p w14:paraId="3E3A4035">
            <w:pPr>
              <w:spacing w:line="480" w:lineRule="auto"/>
              <w:jc w:val="center"/>
              <w:rPr>
                <w:bCs/>
                <w:szCs w:val="21"/>
              </w:rPr>
            </w:pPr>
            <w:r>
              <w:rPr>
                <w:rFonts w:hint="eastAsia"/>
                <w:bCs/>
                <w:szCs w:val="21"/>
              </w:rPr>
              <w:t>相关性判断</w:t>
            </w:r>
          </w:p>
        </w:tc>
        <w:tc>
          <w:tcPr>
            <w:tcW w:w="1210" w:type="dxa"/>
          </w:tcPr>
          <w:p w14:paraId="69C897E4">
            <w:pPr>
              <w:spacing w:line="480" w:lineRule="auto"/>
              <w:jc w:val="center"/>
              <w:rPr>
                <w:bCs/>
                <w:szCs w:val="21"/>
              </w:rPr>
            </w:pPr>
            <w:r>
              <w:rPr>
                <w:rFonts w:hint="eastAsia"/>
                <w:bCs/>
                <w:szCs w:val="21"/>
              </w:rPr>
              <w:t>采取措施</w:t>
            </w:r>
          </w:p>
        </w:tc>
        <w:tc>
          <w:tcPr>
            <w:tcW w:w="1734" w:type="dxa"/>
          </w:tcPr>
          <w:p w14:paraId="04D5797C">
            <w:pPr>
              <w:spacing w:line="480" w:lineRule="auto"/>
              <w:jc w:val="center"/>
              <w:rPr>
                <w:bCs/>
                <w:szCs w:val="21"/>
              </w:rPr>
            </w:pPr>
            <w:r>
              <w:rPr>
                <w:rFonts w:hint="eastAsia"/>
                <w:bCs/>
                <w:szCs w:val="21"/>
              </w:rPr>
              <w:t>受试者转归情况</w:t>
            </w:r>
          </w:p>
        </w:tc>
        <w:tc>
          <w:tcPr>
            <w:tcW w:w="1231" w:type="dxa"/>
          </w:tcPr>
          <w:p w14:paraId="79A0B06B">
            <w:pPr>
              <w:spacing w:line="480" w:lineRule="auto"/>
              <w:jc w:val="center"/>
              <w:rPr>
                <w:bCs/>
                <w:szCs w:val="21"/>
              </w:rPr>
            </w:pPr>
            <w:r>
              <w:rPr>
                <w:rFonts w:hint="eastAsia"/>
                <w:bCs/>
                <w:szCs w:val="21"/>
              </w:rPr>
              <w:t>报告类型</w:t>
            </w:r>
          </w:p>
        </w:tc>
      </w:tr>
      <w:tr w14:paraId="3C9B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tcPr>
          <w:p w14:paraId="508988A8">
            <w:pPr>
              <w:spacing w:line="360" w:lineRule="auto"/>
              <w:jc w:val="left"/>
              <w:rPr>
                <w:b/>
                <w:sz w:val="18"/>
                <w:szCs w:val="18"/>
              </w:rPr>
            </w:pPr>
          </w:p>
        </w:tc>
        <w:tc>
          <w:tcPr>
            <w:tcW w:w="1605" w:type="dxa"/>
          </w:tcPr>
          <w:p w14:paraId="19033B2A">
            <w:pPr>
              <w:spacing w:line="360" w:lineRule="auto"/>
              <w:jc w:val="left"/>
              <w:rPr>
                <w:b/>
                <w:sz w:val="18"/>
                <w:szCs w:val="18"/>
              </w:rPr>
            </w:pPr>
          </w:p>
        </w:tc>
        <w:tc>
          <w:tcPr>
            <w:tcW w:w="1348" w:type="dxa"/>
          </w:tcPr>
          <w:p w14:paraId="273CAB29">
            <w:pPr>
              <w:spacing w:line="360" w:lineRule="auto"/>
              <w:jc w:val="left"/>
              <w:rPr>
                <w:b/>
                <w:sz w:val="18"/>
                <w:szCs w:val="18"/>
              </w:rPr>
            </w:pPr>
          </w:p>
        </w:tc>
        <w:tc>
          <w:tcPr>
            <w:tcW w:w="1340" w:type="dxa"/>
          </w:tcPr>
          <w:p w14:paraId="6D51FA98">
            <w:pPr>
              <w:spacing w:line="360" w:lineRule="auto"/>
              <w:jc w:val="left"/>
              <w:rPr>
                <w:b/>
                <w:sz w:val="18"/>
                <w:szCs w:val="18"/>
              </w:rPr>
            </w:pPr>
          </w:p>
        </w:tc>
        <w:tc>
          <w:tcPr>
            <w:tcW w:w="1210" w:type="dxa"/>
          </w:tcPr>
          <w:p w14:paraId="65497730">
            <w:pPr>
              <w:spacing w:line="360" w:lineRule="auto"/>
              <w:jc w:val="left"/>
              <w:rPr>
                <w:b/>
                <w:sz w:val="18"/>
                <w:szCs w:val="18"/>
              </w:rPr>
            </w:pPr>
          </w:p>
        </w:tc>
        <w:tc>
          <w:tcPr>
            <w:tcW w:w="1734" w:type="dxa"/>
          </w:tcPr>
          <w:p w14:paraId="29E534DD">
            <w:pPr>
              <w:spacing w:line="360" w:lineRule="auto"/>
              <w:jc w:val="left"/>
              <w:rPr>
                <w:b/>
                <w:sz w:val="18"/>
                <w:szCs w:val="18"/>
              </w:rPr>
            </w:pPr>
          </w:p>
        </w:tc>
        <w:tc>
          <w:tcPr>
            <w:tcW w:w="1231" w:type="dxa"/>
          </w:tcPr>
          <w:p w14:paraId="1D3B6266">
            <w:pPr>
              <w:spacing w:line="360" w:lineRule="auto"/>
              <w:jc w:val="left"/>
              <w:rPr>
                <w:b/>
                <w:sz w:val="18"/>
                <w:szCs w:val="18"/>
              </w:rPr>
            </w:pPr>
          </w:p>
        </w:tc>
      </w:tr>
      <w:tr w14:paraId="10A3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tcPr>
          <w:p w14:paraId="2E2AFAAA">
            <w:pPr>
              <w:spacing w:line="360" w:lineRule="auto"/>
              <w:jc w:val="left"/>
              <w:rPr>
                <w:b/>
                <w:sz w:val="18"/>
                <w:szCs w:val="18"/>
              </w:rPr>
            </w:pPr>
          </w:p>
        </w:tc>
        <w:tc>
          <w:tcPr>
            <w:tcW w:w="1605" w:type="dxa"/>
          </w:tcPr>
          <w:p w14:paraId="4E4D7717">
            <w:pPr>
              <w:spacing w:line="360" w:lineRule="auto"/>
              <w:jc w:val="left"/>
              <w:rPr>
                <w:b/>
                <w:sz w:val="18"/>
                <w:szCs w:val="18"/>
              </w:rPr>
            </w:pPr>
          </w:p>
        </w:tc>
        <w:tc>
          <w:tcPr>
            <w:tcW w:w="1348" w:type="dxa"/>
          </w:tcPr>
          <w:p w14:paraId="486CF530">
            <w:pPr>
              <w:spacing w:line="360" w:lineRule="auto"/>
              <w:jc w:val="left"/>
              <w:rPr>
                <w:b/>
                <w:sz w:val="18"/>
                <w:szCs w:val="18"/>
              </w:rPr>
            </w:pPr>
          </w:p>
        </w:tc>
        <w:tc>
          <w:tcPr>
            <w:tcW w:w="1340" w:type="dxa"/>
          </w:tcPr>
          <w:p w14:paraId="41861C28">
            <w:pPr>
              <w:spacing w:line="360" w:lineRule="auto"/>
              <w:jc w:val="left"/>
              <w:rPr>
                <w:b/>
                <w:sz w:val="18"/>
                <w:szCs w:val="18"/>
              </w:rPr>
            </w:pPr>
          </w:p>
        </w:tc>
        <w:tc>
          <w:tcPr>
            <w:tcW w:w="1210" w:type="dxa"/>
          </w:tcPr>
          <w:p w14:paraId="7E60D071">
            <w:pPr>
              <w:spacing w:line="360" w:lineRule="auto"/>
              <w:jc w:val="left"/>
              <w:rPr>
                <w:b/>
                <w:sz w:val="18"/>
                <w:szCs w:val="18"/>
              </w:rPr>
            </w:pPr>
          </w:p>
        </w:tc>
        <w:tc>
          <w:tcPr>
            <w:tcW w:w="1734" w:type="dxa"/>
          </w:tcPr>
          <w:p w14:paraId="65552FC5">
            <w:pPr>
              <w:spacing w:line="360" w:lineRule="auto"/>
              <w:jc w:val="left"/>
              <w:rPr>
                <w:b/>
                <w:sz w:val="18"/>
                <w:szCs w:val="18"/>
              </w:rPr>
            </w:pPr>
          </w:p>
        </w:tc>
        <w:tc>
          <w:tcPr>
            <w:tcW w:w="1231" w:type="dxa"/>
          </w:tcPr>
          <w:p w14:paraId="1260F37A">
            <w:pPr>
              <w:spacing w:line="360" w:lineRule="auto"/>
              <w:jc w:val="left"/>
              <w:rPr>
                <w:b/>
                <w:sz w:val="18"/>
                <w:szCs w:val="18"/>
              </w:rPr>
            </w:pPr>
          </w:p>
        </w:tc>
      </w:tr>
      <w:tr w14:paraId="539F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tcPr>
          <w:p w14:paraId="36887E8E">
            <w:pPr>
              <w:spacing w:line="360" w:lineRule="auto"/>
              <w:jc w:val="left"/>
              <w:rPr>
                <w:b/>
                <w:sz w:val="18"/>
                <w:szCs w:val="18"/>
              </w:rPr>
            </w:pPr>
          </w:p>
        </w:tc>
        <w:tc>
          <w:tcPr>
            <w:tcW w:w="1605" w:type="dxa"/>
          </w:tcPr>
          <w:p w14:paraId="7901DE9A">
            <w:pPr>
              <w:spacing w:line="360" w:lineRule="auto"/>
              <w:jc w:val="left"/>
              <w:rPr>
                <w:b/>
                <w:sz w:val="18"/>
                <w:szCs w:val="18"/>
              </w:rPr>
            </w:pPr>
          </w:p>
        </w:tc>
        <w:tc>
          <w:tcPr>
            <w:tcW w:w="1348" w:type="dxa"/>
          </w:tcPr>
          <w:p w14:paraId="476C7A37">
            <w:pPr>
              <w:spacing w:line="360" w:lineRule="auto"/>
              <w:jc w:val="left"/>
              <w:rPr>
                <w:b/>
                <w:sz w:val="18"/>
                <w:szCs w:val="18"/>
              </w:rPr>
            </w:pPr>
          </w:p>
        </w:tc>
        <w:tc>
          <w:tcPr>
            <w:tcW w:w="1340" w:type="dxa"/>
          </w:tcPr>
          <w:p w14:paraId="7002041C">
            <w:pPr>
              <w:spacing w:line="360" w:lineRule="auto"/>
              <w:jc w:val="left"/>
              <w:rPr>
                <w:b/>
                <w:sz w:val="18"/>
                <w:szCs w:val="18"/>
              </w:rPr>
            </w:pPr>
          </w:p>
        </w:tc>
        <w:tc>
          <w:tcPr>
            <w:tcW w:w="1210" w:type="dxa"/>
          </w:tcPr>
          <w:p w14:paraId="2E796EBC">
            <w:pPr>
              <w:spacing w:line="360" w:lineRule="auto"/>
              <w:jc w:val="left"/>
              <w:rPr>
                <w:b/>
                <w:sz w:val="18"/>
                <w:szCs w:val="18"/>
              </w:rPr>
            </w:pPr>
          </w:p>
        </w:tc>
        <w:tc>
          <w:tcPr>
            <w:tcW w:w="1734" w:type="dxa"/>
          </w:tcPr>
          <w:p w14:paraId="48F9A1C0">
            <w:pPr>
              <w:spacing w:line="360" w:lineRule="auto"/>
              <w:jc w:val="left"/>
              <w:rPr>
                <w:b/>
                <w:sz w:val="18"/>
                <w:szCs w:val="18"/>
              </w:rPr>
            </w:pPr>
          </w:p>
        </w:tc>
        <w:tc>
          <w:tcPr>
            <w:tcW w:w="1231" w:type="dxa"/>
          </w:tcPr>
          <w:p w14:paraId="72BEF274">
            <w:pPr>
              <w:spacing w:line="360" w:lineRule="auto"/>
              <w:jc w:val="left"/>
              <w:rPr>
                <w:b/>
                <w:sz w:val="18"/>
                <w:szCs w:val="18"/>
              </w:rPr>
            </w:pPr>
          </w:p>
        </w:tc>
      </w:tr>
      <w:tr w14:paraId="7B75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tcPr>
          <w:p w14:paraId="628329E5">
            <w:pPr>
              <w:spacing w:line="360" w:lineRule="auto"/>
              <w:jc w:val="left"/>
              <w:rPr>
                <w:b/>
                <w:sz w:val="18"/>
                <w:szCs w:val="18"/>
              </w:rPr>
            </w:pPr>
          </w:p>
        </w:tc>
        <w:tc>
          <w:tcPr>
            <w:tcW w:w="1605" w:type="dxa"/>
          </w:tcPr>
          <w:p w14:paraId="1F4B8EDB">
            <w:pPr>
              <w:spacing w:line="360" w:lineRule="auto"/>
              <w:jc w:val="left"/>
              <w:rPr>
                <w:b/>
                <w:sz w:val="18"/>
                <w:szCs w:val="18"/>
              </w:rPr>
            </w:pPr>
          </w:p>
        </w:tc>
        <w:tc>
          <w:tcPr>
            <w:tcW w:w="1348" w:type="dxa"/>
          </w:tcPr>
          <w:p w14:paraId="05D1A4F7">
            <w:pPr>
              <w:spacing w:line="360" w:lineRule="auto"/>
              <w:jc w:val="left"/>
              <w:rPr>
                <w:b/>
                <w:sz w:val="18"/>
                <w:szCs w:val="18"/>
              </w:rPr>
            </w:pPr>
          </w:p>
        </w:tc>
        <w:tc>
          <w:tcPr>
            <w:tcW w:w="1340" w:type="dxa"/>
          </w:tcPr>
          <w:p w14:paraId="5D61CDF5">
            <w:pPr>
              <w:spacing w:line="360" w:lineRule="auto"/>
              <w:jc w:val="left"/>
              <w:rPr>
                <w:b/>
                <w:sz w:val="18"/>
                <w:szCs w:val="18"/>
              </w:rPr>
            </w:pPr>
          </w:p>
        </w:tc>
        <w:tc>
          <w:tcPr>
            <w:tcW w:w="1210" w:type="dxa"/>
          </w:tcPr>
          <w:p w14:paraId="7DBE9C38">
            <w:pPr>
              <w:spacing w:line="360" w:lineRule="auto"/>
              <w:jc w:val="left"/>
              <w:rPr>
                <w:b/>
                <w:sz w:val="18"/>
                <w:szCs w:val="18"/>
              </w:rPr>
            </w:pPr>
          </w:p>
        </w:tc>
        <w:tc>
          <w:tcPr>
            <w:tcW w:w="1734" w:type="dxa"/>
          </w:tcPr>
          <w:p w14:paraId="501208F8">
            <w:pPr>
              <w:spacing w:line="360" w:lineRule="auto"/>
              <w:jc w:val="left"/>
              <w:rPr>
                <w:b/>
                <w:sz w:val="18"/>
                <w:szCs w:val="18"/>
              </w:rPr>
            </w:pPr>
          </w:p>
        </w:tc>
        <w:tc>
          <w:tcPr>
            <w:tcW w:w="1231" w:type="dxa"/>
          </w:tcPr>
          <w:p w14:paraId="6144ED12">
            <w:pPr>
              <w:spacing w:line="360" w:lineRule="auto"/>
              <w:jc w:val="left"/>
              <w:rPr>
                <w:b/>
                <w:sz w:val="18"/>
                <w:szCs w:val="18"/>
              </w:rPr>
            </w:pPr>
          </w:p>
        </w:tc>
      </w:tr>
      <w:tr w14:paraId="058C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tcPr>
          <w:p w14:paraId="6750F17E">
            <w:pPr>
              <w:spacing w:line="360" w:lineRule="auto"/>
              <w:jc w:val="left"/>
              <w:rPr>
                <w:b/>
                <w:sz w:val="18"/>
                <w:szCs w:val="18"/>
              </w:rPr>
            </w:pPr>
          </w:p>
        </w:tc>
        <w:tc>
          <w:tcPr>
            <w:tcW w:w="1605" w:type="dxa"/>
          </w:tcPr>
          <w:p w14:paraId="4F7D28B4">
            <w:pPr>
              <w:spacing w:line="360" w:lineRule="auto"/>
              <w:jc w:val="left"/>
              <w:rPr>
                <w:b/>
                <w:sz w:val="18"/>
                <w:szCs w:val="18"/>
              </w:rPr>
            </w:pPr>
          </w:p>
        </w:tc>
        <w:tc>
          <w:tcPr>
            <w:tcW w:w="1348" w:type="dxa"/>
          </w:tcPr>
          <w:p w14:paraId="384A1136">
            <w:pPr>
              <w:spacing w:line="360" w:lineRule="auto"/>
              <w:jc w:val="left"/>
              <w:rPr>
                <w:b/>
                <w:sz w:val="18"/>
                <w:szCs w:val="18"/>
              </w:rPr>
            </w:pPr>
          </w:p>
        </w:tc>
        <w:tc>
          <w:tcPr>
            <w:tcW w:w="1340" w:type="dxa"/>
          </w:tcPr>
          <w:p w14:paraId="6FCAF648">
            <w:pPr>
              <w:spacing w:line="360" w:lineRule="auto"/>
              <w:jc w:val="left"/>
              <w:rPr>
                <w:b/>
                <w:sz w:val="18"/>
                <w:szCs w:val="18"/>
              </w:rPr>
            </w:pPr>
          </w:p>
        </w:tc>
        <w:tc>
          <w:tcPr>
            <w:tcW w:w="1210" w:type="dxa"/>
          </w:tcPr>
          <w:p w14:paraId="0B2D0B95">
            <w:pPr>
              <w:spacing w:line="360" w:lineRule="auto"/>
              <w:jc w:val="left"/>
              <w:rPr>
                <w:b/>
                <w:sz w:val="18"/>
                <w:szCs w:val="18"/>
              </w:rPr>
            </w:pPr>
          </w:p>
        </w:tc>
        <w:tc>
          <w:tcPr>
            <w:tcW w:w="1734" w:type="dxa"/>
          </w:tcPr>
          <w:p w14:paraId="6AD4A3C8">
            <w:pPr>
              <w:spacing w:line="360" w:lineRule="auto"/>
              <w:jc w:val="left"/>
              <w:rPr>
                <w:b/>
                <w:sz w:val="18"/>
                <w:szCs w:val="18"/>
              </w:rPr>
            </w:pPr>
          </w:p>
        </w:tc>
        <w:tc>
          <w:tcPr>
            <w:tcW w:w="1231" w:type="dxa"/>
          </w:tcPr>
          <w:p w14:paraId="322CC52C">
            <w:pPr>
              <w:spacing w:line="360" w:lineRule="auto"/>
              <w:jc w:val="left"/>
              <w:rPr>
                <w:b/>
                <w:sz w:val="18"/>
                <w:szCs w:val="18"/>
              </w:rPr>
            </w:pPr>
          </w:p>
        </w:tc>
      </w:tr>
      <w:tr w14:paraId="111E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tcPr>
          <w:p w14:paraId="1AC96936">
            <w:pPr>
              <w:spacing w:line="360" w:lineRule="auto"/>
              <w:jc w:val="left"/>
              <w:rPr>
                <w:b/>
                <w:sz w:val="18"/>
                <w:szCs w:val="18"/>
              </w:rPr>
            </w:pPr>
          </w:p>
        </w:tc>
        <w:tc>
          <w:tcPr>
            <w:tcW w:w="1605" w:type="dxa"/>
          </w:tcPr>
          <w:p w14:paraId="2CA21F1C">
            <w:pPr>
              <w:spacing w:line="360" w:lineRule="auto"/>
              <w:jc w:val="left"/>
              <w:rPr>
                <w:b/>
                <w:sz w:val="18"/>
                <w:szCs w:val="18"/>
              </w:rPr>
            </w:pPr>
          </w:p>
        </w:tc>
        <w:tc>
          <w:tcPr>
            <w:tcW w:w="1348" w:type="dxa"/>
          </w:tcPr>
          <w:p w14:paraId="0602641C">
            <w:pPr>
              <w:spacing w:line="360" w:lineRule="auto"/>
              <w:jc w:val="left"/>
              <w:rPr>
                <w:b/>
                <w:sz w:val="18"/>
                <w:szCs w:val="18"/>
              </w:rPr>
            </w:pPr>
          </w:p>
        </w:tc>
        <w:tc>
          <w:tcPr>
            <w:tcW w:w="1340" w:type="dxa"/>
          </w:tcPr>
          <w:p w14:paraId="04327D95">
            <w:pPr>
              <w:spacing w:line="360" w:lineRule="auto"/>
              <w:jc w:val="left"/>
              <w:rPr>
                <w:b/>
                <w:sz w:val="18"/>
                <w:szCs w:val="18"/>
              </w:rPr>
            </w:pPr>
          </w:p>
        </w:tc>
        <w:tc>
          <w:tcPr>
            <w:tcW w:w="1210" w:type="dxa"/>
          </w:tcPr>
          <w:p w14:paraId="4144E71B">
            <w:pPr>
              <w:spacing w:line="360" w:lineRule="auto"/>
              <w:jc w:val="left"/>
              <w:rPr>
                <w:b/>
                <w:sz w:val="18"/>
                <w:szCs w:val="18"/>
              </w:rPr>
            </w:pPr>
          </w:p>
        </w:tc>
        <w:tc>
          <w:tcPr>
            <w:tcW w:w="1734" w:type="dxa"/>
          </w:tcPr>
          <w:p w14:paraId="6719D405">
            <w:pPr>
              <w:spacing w:line="360" w:lineRule="auto"/>
              <w:jc w:val="left"/>
              <w:rPr>
                <w:b/>
                <w:sz w:val="18"/>
                <w:szCs w:val="18"/>
              </w:rPr>
            </w:pPr>
          </w:p>
        </w:tc>
        <w:tc>
          <w:tcPr>
            <w:tcW w:w="1231" w:type="dxa"/>
          </w:tcPr>
          <w:p w14:paraId="0A0782B4">
            <w:pPr>
              <w:spacing w:line="360" w:lineRule="auto"/>
              <w:jc w:val="left"/>
              <w:rPr>
                <w:b/>
                <w:sz w:val="18"/>
                <w:szCs w:val="18"/>
              </w:rPr>
            </w:pPr>
          </w:p>
        </w:tc>
      </w:tr>
    </w:tbl>
    <w:p w14:paraId="57EBA425">
      <w:pPr>
        <w:jc w:val="left"/>
        <w:rPr>
          <w:sz w:val="18"/>
          <w:szCs w:val="18"/>
        </w:rPr>
      </w:pPr>
      <w:r>
        <w:rPr>
          <w:rFonts w:hint="eastAsia"/>
          <w:sz w:val="18"/>
          <w:szCs w:val="18"/>
        </w:rPr>
        <w:t>注：</w:t>
      </w:r>
    </w:p>
    <w:p w14:paraId="07E17384">
      <w:pPr>
        <w:jc w:val="left"/>
        <w:rPr>
          <w:sz w:val="18"/>
          <w:szCs w:val="18"/>
        </w:rPr>
      </w:pPr>
      <w:r>
        <w:rPr>
          <w:rFonts w:hint="eastAsia"/>
          <w:sz w:val="18"/>
          <w:szCs w:val="18"/>
        </w:rPr>
        <w:t>相关性判断包括：肯定有关、很可能有关、可能有关、可能无关、肯定无关、无法判定（申办方务必与研究者商议统一结论）</w:t>
      </w:r>
    </w:p>
    <w:p w14:paraId="2413DF4B">
      <w:pPr>
        <w:jc w:val="left"/>
        <w:rPr>
          <w:sz w:val="18"/>
          <w:szCs w:val="18"/>
        </w:rPr>
      </w:pPr>
      <w:r>
        <w:rPr>
          <w:rFonts w:hint="eastAsia"/>
          <w:sz w:val="18"/>
          <w:szCs w:val="18"/>
        </w:rPr>
        <w:t>采取措施包括：继续用药、减少剂量、停用药物、停用药物又恢复、不适用、不祥、增加剂量</w:t>
      </w:r>
    </w:p>
    <w:p w14:paraId="12A864F7">
      <w:pPr>
        <w:jc w:val="left"/>
        <w:rPr>
          <w:sz w:val="18"/>
          <w:szCs w:val="18"/>
        </w:rPr>
      </w:pPr>
      <w:r>
        <w:rPr>
          <w:rFonts w:hint="eastAsia"/>
          <w:sz w:val="18"/>
          <w:szCs w:val="18"/>
        </w:rPr>
        <w:t>受试者转归情况包括：痊愈、痊愈伴有后遗症、好转、未好转、死亡、不祥【该字段不需要写入递交信】</w:t>
      </w:r>
    </w:p>
    <w:p w14:paraId="2D2F0D42">
      <w:pPr>
        <w:spacing w:line="360" w:lineRule="auto"/>
        <w:jc w:val="left"/>
        <w:rPr>
          <w:sz w:val="24"/>
          <w:szCs w:val="24"/>
        </w:rPr>
      </w:pPr>
      <w:r>
        <w:rPr>
          <w:rFonts w:hint="eastAsia"/>
          <w:sz w:val="24"/>
          <w:szCs w:val="24"/>
        </w:rPr>
        <w:t>涉及项目有：</w:t>
      </w:r>
    </w:p>
    <w:p w14:paraId="4C4DB8CA">
      <w:pPr>
        <w:spacing w:line="360" w:lineRule="auto"/>
        <w:jc w:val="left"/>
        <w:rPr>
          <w:sz w:val="24"/>
          <w:szCs w:val="24"/>
        </w:rPr>
      </w:pPr>
      <w:r>
        <w:rPr>
          <w:rFonts w:hint="eastAsia"/>
          <w:sz w:val="24"/>
          <w:szCs w:val="24"/>
        </w:rPr>
        <w:t>（罗列项目全称）</w:t>
      </w:r>
    </w:p>
    <w:p w14:paraId="7096265A">
      <w:pPr>
        <w:spacing w:line="360" w:lineRule="auto"/>
        <w:jc w:val="left"/>
        <w:rPr>
          <w:bCs/>
          <w:sz w:val="22"/>
        </w:rPr>
      </w:pPr>
      <w:r>
        <w:rPr>
          <w:rFonts w:hint="eastAsia"/>
          <w:b/>
          <w:sz w:val="24"/>
          <w:szCs w:val="24"/>
        </w:rPr>
        <w:t xml:space="preserve">                                      </w:t>
      </w:r>
      <w:r>
        <w:rPr>
          <w:rFonts w:hint="eastAsia"/>
          <w:bCs/>
          <w:sz w:val="22"/>
        </w:rPr>
        <w:t xml:space="preserve">             （申办方公司名称）</w:t>
      </w:r>
    </w:p>
    <w:p w14:paraId="3E7CFD4B">
      <w:pPr>
        <w:spacing w:line="360" w:lineRule="auto"/>
        <w:jc w:val="right"/>
        <w:rPr>
          <w:bCs/>
          <w:sz w:val="22"/>
        </w:rPr>
      </w:pPr>
      <w:r>
        <w:rPr>
          <w:rFonts w:hint="eastAsia"/>
          <w:bCs/>
          <w:sz w:val="22"/>
        </w:rPr>
        <w:t>递交人职务及姓名</w:t>
      </w:r>
    </w:p>
    <w:p w14:paraId="59B3A35E">
      <w:pPr>
        <w:spacing w:line="360" w:lineRule="auto"/>
        <w:jc w:val="right"/>
        <w:rPr>
          <w:bCs/>
          <w:sz w:val="22"/>
        </w:rPr>
      </w:pPr>
      <w:r>
        <w:rPr>
          <w:rFonts w:hint="eastAsia"/>
          <w:bCs/>
          <w:sz w:val="22"/>
        </w:rPr>
        <w:t>申办方递交人签字及日期</w:t>
      </w:r>
    </w:p>
    <w:p w14:paraId="687D981D">
      <w:pPr>
        <w:ind w:right="964"/>
        <w:rPr>
          <w:b/>
          <w:sz w:val="24"/>
          <w:szCs w:val="24"/>
        </w:rPr>
      </w:pPr>
      <w:r>
        <w:rPr>
          <w:rFonts w:hint="eastAsia"/>
          <w:b/>
          <w:sz w:val="24"/>
          <w:szCs w:val="24"/>
        </w:rPr>
        <mc:AlternateContent>
          <mc:Choice Requires="wps">
            <w:drawing>
              <wp:anchor distT="0" distB="0" distL="114300" distR="114300" simplePos="0" relativeHeight="251659264" behindDoc="0" locked="0" layoutInCell="1" allowOverlap="1">
                <wp:simplePos x="0" y="0"/>
                <wp:positionH relativeFrom="column">
                  <wp:posOffset>-791210</wp:posOffset>
                </wp:positionH>
                <wp:positionV relativeFrom="paragraph">
                  <wp:posOffset>170180</wp:posOffset>
                </wp:positionV>
                <wp:extent cx="6761480" cy="17145"/>
                <wp:effectExtent l="0" t="4445" r="3810" b="5080"/>
                <wp:wrapNone/>
                <wp:docPr id="2" name="直接连接符 2"/>
                <wp:cNvGraphicFramePr/>
                <a:graphic xmlns:a="http://schemas.openxmlformats.org/drawingml/2006/main">
                  <a:graphicData uri="http://schemas.microsoft.com/office/word/2010/wordprocessingShape">
                    <wps:wsp>
                      <wps:cNvCnPr/>
                      <wps:spPr>
                        <a:xfrm flipV="1">
                          <a:off x="0" y="0"/>
                          <a:ext cx="6761285" cy="171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62.3pt;margin-top:13.4pt;height:1.35pt;width:532.4pt;z-index:251659264;mso-width-relative:page;mso-height-relative:page;" filled="f" stroked="t" coordsize="21600,21600" o:gfxdata="UEsDBAoAAAAAAIdO4kAAAAAAAAAAAAAAAAAEAAAAZHJzL1BLAwQUAAAACACHTuJAzmZ/79gAAAAK&#10;AQAADwAAAGRycy9kb3ducmV2LnhtbE2PwU7DMAyG70i8Q2QkblvaUipSmk4MCbghsbF71pi2WuOU&#10;Jt3G22NO7Gj70+/vr1ZnN4gjTqH3pCFdJiCQGm97ajV8bl8WDyBCNGTN4Ak1/GCAVX19VZnS+hN9&#10;4HETW8EhFEqjoYtxLKUMTYfOhKUfkfj25SdnIo9TK+1kThzuBpklSSGd6Yk/dGbE5w6bw2Z2GtZb&#10;dfdqd/Pb4V3l+LRWaZi/d1rf3qTJI4iI5/gPw58+q0PNTns/kw1i0LBIs7xgVkNWcAcmVJ5kIPa8&#10;UPcg60peVqh/AVBLAwQUAAAACACHTuJAIoQ8UO8BAAC/AwAADgAAAGRycy9lMm9Eb2MueG1srVO9&#10;jhMxEO6ReAfLPdkkcLlolc0VFx0Ngkj89BOvvWvJf/L4sslL8AJIdFBR0vM2dzwGY284jqO5gi2s&#10;8fx8M9/n2dXFwRq2lxG1dw2fTaacSSd8q13X8Pfvrp4tOcMErgXjnWz4USK/WD99shpCLee+96aV&#10;kRGIw3oIDe9TCnVVoeilBZz4IB0FlY8WEl1jV7URBkK3pppPp4tq8LEN0QuJSN7NGOQnxPgYQK+U&#10;FnLjxbWVLo2oURpIRAl7HZCvy7RKSZHeKIUyMdNwYprKSU3I3uWzWq+g7iKEXovTCPCYER5wsqAd&#10;Nb2D2kACdh31P1BWi+jRqzQR3lYjkaIIsZhNH2jztocgCxeSGsOd6Pj/YMXr/TYy3TZ8zpkDSw9+&#10;++n7zccvP398pvP221c2zyINAWvKvXTbeLph2MbM+KCiZcro8IG2qWhArNihSHy8k1geEhPkXJwv&#10;ZvPlGWeCYrPz2YtFRq9GmAwXIqaX0luWjYYb7bICUMP+FaYx9XdKdjt/pY0hP9TGsYEaPD+jtxVA&#10;m6loI8i0gdih6zgD09HKixQLInqj21ydizF2u0sT2R7yopTvNNhfabn1BrAf80oop0FtdaK/wmjb&#10;8OX9auOIXRZvlCtbO98ei4rFT+9a+J92MC/O/Xup/vPfr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mZ/79gAAAAKAQAADwAAAAAAAAABACAAAAAiAAAAZHJzL2Rvd25yZXYueG1sUEsBAhQAFAAA&#10;AAgAh07iQCKEPFDvAQAAvwMAAA4AAAAAAAAAAQAgAAAAJwEAAGRycy9lMm9Eb2MueG1sUEsFBgAA&#10;AAAGAAYAWQEAAIgFAAAAAA==&#10;">
                <v:fill on="f" focussize="0,0"/>
                <v:stroke weight="0.5pt" color="#000000 [3200]" miterlimit="8" joinstyle="miter"/>
                <v:imagedata o:title=""/>
                <o:lock v:ext="edit" aspectratio="f"/>
              </v:line>
            </w:pict>
          </mc:Fallback>
        </mc:AlternateContent>
      </w:r>
    </w:p>
    <w:p w14:paraId="7FAFAA00">
      <w:pPr>
        <w:spacing w:line="360" w:lineRule="auto"/>
        <w:jc w:val="center"/>
        <w:rPr>
          <w:b/>
          <w:sz w:val="24"/>
          <w:szCs w:val="24"/>
        </w:rPr>
      </w:pPr>
      <w:r>
        <w:rPr>
          <w:rFonts w:hint="eastAsia"/>
          <w:b/>
          <w:sz w:val="24"/>
          <w:szCs w:val="24"/>
        </w:rPr>
        <w:t>主要研究者签收</w:t>
      </w:r>
    </w:p>
    <w:p w14:paraId="665889DF">
      <w:pPr>
        <w:spacing w:line="360" w:lineRule="auto"/>
        <w:ind w:firstLine="420"/>
        <w:jc w:val="left"/>
        <w:rPr>
          <w:sz w:val="22"/>
        </w:rPr>
      </w:pPr>
      <w:r>
        <w:rPr>
          <w:rFonts w:hint="eastAsia"/>
          <w:sz w:val="22"/>
        </w:rPr>
        <w:t>我已审阅SUSAR相关内容，在试验进行过程中将做好相关的风险防控预案，做好受试者保护工作。</w:t>
      </w:r>
    </w:p>
    <w:p w14:paraId="006B0833">
      <w:pPr>
        <w:spacing w:line="360" w:lineRule="auto"/>
        <w:ind w:right="482"/>
        <w:jc w:val="right"/>
        <w:rPr>
          <w:b/>
          <w:sz w:val="24"/>
          <w:szCs w:val="24"/>
        </w:rPr>
      </w:pPr>
    </w:p>
    <w:p w14:paraId="38A50B9A">
      <w:pPr>
        <w:wordWrap w:val="0"/>
        <w:spacing w:line="360" w:lineRule="auto"/>
        <w:ind w:right="482"/>
        <w:jc w:val="right"/>
        <w:rPr>
          <w:b/>
          <w:sz w:val="22"/>
        </w:rPr>
      </w:pPr>
      <w:r>
        <w:rPr>
          <w:rFonts w:hint="eastAsia"/>
          <w:b/>
          <w:sz w:val="22"/>
        </w:rPr>
        <w:t xml:space="preserve">主要研究者签名：             </w:t>
      </w:r>
    </w:p>
    <w:p w14:paraId="49B88613">
      <w:pPr>
        <w:wordWrap w:val="0"/>
        <w:spacing w:line="360" w:lineRule="auto"/>
        <w:ind w:right="482"/>
        <w:jc w:val="right"/>
        <w:rPr>
          <w:b/>
          <w:sz w:val="24"/>
          <w:szCs w:val="24"/>
        </w:rPr>
      </w:pPr>
      <w:r>
        <w:rPr>
          <w:rFonts w:hint="eastAsia"/>
          <w:b/>
          <w:sz w:val="22"/>
        </w:rPr>
        <w:t>日期：</w:t>
      </w:r>
      <w:r>
        <w:rPr>
          <w:rFonts w:hint="eastAsia"/>
          <w:b/>
          <w:sz w:val="24"/>
          <w:szCs w:val="24"/>
        </w:rPr>
        <w:t xml:space="preserve">         </w:t>
      </w:r>
    </w:p>
    <w:p w14:paraId="46EF9806">
      <w:pPr>
        <w:ind w:right="241"/>
        <w:jc w:val="right"/>
        <w:rPr>
          <w:b/>
          <w:sz w:val="24"/>
          <w:szCs w:val="24"/>
        </w:rPr>
      </w:pPr>
      <w:r>
        <w:rPr>
          <w:b/>
          <w:sz w:val="24"/>
          <w:szCs w:val="24"/>
        </w:rPr>
        <mc:AlternateContent>
          <mc:Choice Requires="wps">
            <w:drawing>
              <wp:anchor distT="0" distB="0" distL="114300" distR="114300" simplePos="0" relativeHeight="251660288" behindDoc="0" locked="0" layoutInCell="1" allowOverlap="1">
                <wp:simplePos x="0" y="0"/>
                <wp:positionH relativeFrom="column">
                  <wp:posOffset>-624205</wp:posOffset>
                </wp:positionH>
                <wp:positionV relativeFrom="paragraph">
                  <wp:posOffset>132080</wp:posOffset>
                </wp:positionV>
                <wp:extent cx="6515100" cy="26035"/>
                <wp:effectExtent l="0" t="4445" r="1270" b="5080"/>
                <wp:wrapNone/>
                <wp:docPr id="3" name="直接连接符 3"/>
                <wp:cNvGraphicFramePr/>
                <a:graphic xmlns:a="http://schemas.openxmlformats.org/drawingml/2006/main">
                  <a:graphicData uri="http://schemas.microsoft.com/office/word/2010/wordprocessingShape">
                    <wps:wsp>
                      <wps:cNvCnPr/>
                      <wps:spPr>
                        <a:xfrm flipV="1">
                          <a:off x="0" y="0"/>
                          <a:ext cx="6515100" cy="260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9.15pt;margin-top:10.4pt;height:2.05pt;width:513pt;z-index:251660288;mso-width-relative:page;mso-height-relative:page;" filled="f" stroked="t" coordsize="21600,21600" o:gfxdata="UEsDBAoAAAAAAIdO4kAAAAAAAAAAAAAAAAAEAAAAZHJzL1BLAwQUAAAACACHTuJAgc+hZtcAAAAJ&#10;AQAADwAAAGRycy9kb3ducmV2LnhtbE2PwW7CMAyG75P2DpGRdoO0BQ3SNUVj0rbbpMG4h8a0FY3T&#10;NSmwt593Ykfbn35/f7G+uk6ccQitJw3pLAGBVHnbUq3ha/c6XYEI0ZA1nSfU8IMB1uX9XWFy6y/0&#10;iedtrAWHUMiNhibGPpcyVA06E2a+R+Lb0Q/ORB6HWtrBXDjcdTJLkkfpTEv8oTE9vjRYnbaj07DZ&#10;qfmb3Y/vpw+1wOeNSsP4vdf6YZImTyAiXuMNhj99VoeSnQ5+JBtEp2GqVnNGNWQJV2BAZcsliAMv&#10;FgpkWcj/DcpfUEsDBBQAAAAIAIdO4kCow5Ox7QEAAL8DAAAOAAAAZHJzL2Uyb0RvYy54bWytU71u&#10;2zAQ3gv0HQjutWQbNgLBcoYY6VK0BvqznylKIsA/8BjLfom+QIFu7dSxe9+myWP0SLlumiwZooE4&#10;3s939306ri4PRrO9DKicrfl0UnImrXCNsl3NP364fnXBGUawDWhnZc2PEvnl+uWL1eArOXO9040M&#10;jEAsVoOveR+jr4oCRS8N4MR5aSnYumAg0jV0RRNgIHSji1lZLovBhcYHJyQieTdjkJ8Qw1MAXdsq&#10;ITdO3Bhp44gapIZIlLBXHvk6T9u2UsR3bYsyMl1zYhrzSU3I3qWzWK+g6gL4XonTCPCUER5wMqAs&#10;NT1DbSACuwnqEZRRIjh0bZwIZ4qRSFaEWEzLB9q878HLzIWkRn8WHZ8PVrzdbwNTTc3nnFkw9MNv&#10;v/z8/fnb3a+vdN7++M7mSaTBY0W5V3YbTjf025AYH9pgWKuV/0TblDUgVuyQJT6eJZaHyAQ5l4vp&#10;YlqS+oJis2U5XyT0YoRJcD5gfC2dYcmouVY2KQAV7N9gHFP/piS3dddKa/JDpS0bqMF8kdCBNrOl&#10;jSDTeGKHtuMMdEcrL2LIiOi0alJ1KsbQ7a50YHtIi5K/02D/paXWG8B+zMuhlAaVUZFehVam5hf3&#10;q7Uldkm8Ua5k7VxzzCpmP/3XzP+0g2lx7t9z9b93t/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c+hZtcAAAAJAQAADwAAAAAAAAABACAAAAAiAAAAZHJzL2Rvd25yZXYueG1sUEsBAhQAFAAAAAgA&#10;h07iQKjDk7HtAQAAvwMAAA4AAAAAAAAAAQAgAAAAJgEAAGRycy9lMm9Eb2MueG1sUEsFBgAAAAAG&#10;AAYAWQEAAIUFAAAAAA==&#10;">
                <v:fill on="f" focussize="0,0"/>
                <v:stroke weight="0.5pt" color="#000000 [3200]" miterlimit="8" joinstyle="miter"/>
                <v:imagedata o:title=""/>
                <o:lock v:ext="edit" aspectratio="f"/>
              </v:line>
            </w:pict>
          </mc:Fallback>
        </mc:AlternateContent>
      </w:r>
    </w:p>
    <w:p w14:paraId="61483D41">
      <w:pPr>
        <w:ind w:right="241"/>
        <w:jc w:val="right"/>
        <w:rPr>
          <w:b/>
          <w:sz w:val="24"/>
          <w:szCs w:val="24"/>
        </w:rPr>
      </w:pPr>
    </w:p>
    <w:p w14:paraId="13EA532E">
      <w:pPr>
        <w:ind w:right="241"/>
        <w:jc w:val="right"/>
        <w:rPr>
          <w:b/>
          <w:sz w:val="24"/>
          <w:szCs w:val="24"/>
        </w:rPr>
      </w:pPr>
      <w:r>
        <w:rPr>
          <w:rFonts w:hint="eastAsia"/>
          <w:b/>
          <w:sz w:val="24"/>
          <w:szCs w:val="24"/>
        </w:rPr>
        <mc:AlternateContent>
          <mc:Choice Requires="wps">
            <w:drawing>
              <wp:anchor distT="0" distB="0" distL="114300" distR="114300" simplePos="0" relativeHeight="251661312" behindDoc="0" locked="0" layoutInCell="1" allowOverlap="1">
                <wp:simplePos x="0" y="0"/>
                <wp:positionH relativeFrom="column">
                  <wp:posOffset>-624205</wp:posOffset>
                </wp:positionH>
                <wp:positionV relativeFrom="paragraph">
                  <wp:posOffset>120015</wp:posOffset>
                </wp:positionV>
                <wp:extent cx="6515100" cy="17145"/>
                <wp:effectExtent l="0" t="4445" r="1270" b="5080"/>
                <wp:wrapNone/>
                <wp:docPr id="4" name="直接连接符 4"/>
                <wp:cNvGraphicFramePr/>
                <a:graphic xmlns:a="http://schemas.openxmlformats.org/drawingml/2006/main">
                  <a:graphicData uri="http://schemas.microsoft.com/office/word/2010/wordprocessingShape">
                    <wps:wsp>
                      <wps:cNvCnPr/>
                      <wps:spPr>
                        <a:xfrm flipV="1">
                          <a:off x="0" y="0"/>
                          <a:ext cx="6515100" cy="17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9.15pt;margin-top:9.45pt;height:1.35pt;width:513pt;z-index:251661312;mso-width-relative:page;mso-height-relative:page;" filled="f" stroked="t" coordsize="21600,21600" o:gfxdata="UEsDBAoAAAAAAIdO4kAAAAAAAAAAAAAAAAAEAAAAZHJzL1BLAwQUAAAACACHTuJA3PCKCtcAAAAJ&#10;AQAADwAAAGRycy9kb3ducmV2LnhtbE2PwU7DMBBE70j8g7VI3FonKWrjEKeiSMANiZbe3XhJosbr&#10;EDtt+XuWUzmu5mnmbbm+uF6ccAydJw3pPAGBVHvbUaPhc/cyy0GEaMia3hNq+MEA6+r2pjSF9Wf6&#10;wNM2NoJLKBRGQxvjUEgZ6hadCXM/IHH25UdnIp9jI+1ozlzuepklyVI60xEvtGbA5xbr43ZyGjY7&#10;tXi1++nt+K4e8Gmj0jB977W+v0uTRxARL/EKw58+q0PFTgc/kQ2i1zBT+YJRDnIFggGVrVYgDhqy&#10;dAmyKuX/D6pfUEsDBBQAAAAIAIdO4kDEZTxn7QEAAL8DAAAOAAAAZHJzL2Uyb0RvYy54bWytU82O&#10;0zAQviPxDpbvNM3SLquo6R62Wi4IKvFznzpOYsl/8nib9iV4ASRucOLInbfZ5TEYO6Esy2UP5GCN&#10;5+eb+b6MV5cHo9leBlTO1ryczTmTVrhG2a7m799dP7vgDCPYBrSzsuZHifxy/fTJavCVPHO9040M&#10;jEAsVoOveR+jr4oCRS8N4Mx5aSnYumAg0jV0RRNgIHSji7P5/LwYXGh8cEIiknczBvmEGB4D6NpW&#10;Cblx4sZIG0fUIDVEooS98sjXedq2lSK+aVuUkemaE9OYT2pC9i6dxXoFVRfA90pMI8BjRnjAyYCy&#10;1PQEtYEI7Caof6CMEsGha+NMOFOMRLIixKKcP9DmbQ9eZi4kNfqT6Pj/YMXr/TYw1dR8wZkFQz/8&#10;7tP3249ffv74TOfdt69skUQaPFaUe2W3Ybqh34bE+NAGw1qt/AfapqwBsWKHLPHxJLE8RCbIeb4s&#10;l+Wc1BcUK1+Ui2VCL0aYBOcDxpfSGZaMmmtlkwJQwf4VxjH1d0pyW3ettCY/VNqygRo8XyZ0oM1s&#10;aSPINJ7Yoe04A93RyosYMiI6rZpUnYoxdLsrHdge0qLkbxrsr7TUegPYj3k5lNKgMirSq9DK1Pzi&#10;frW2xC6JN8qVrJ1rjlnF7Kf/mvlPO5gW5/49V/95d+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PCKCtcAAAAJAQAADwAAAAAAAAABACAAAAAiAAAAZHJzL2Rvd25yZXYueG1sUEsBAhQAFAAAAAgA&#10;h07iQMRlPGftAQAAvwMAAA4AAAAAAAAAAQAgAAAAJgEAAGRycy9lMm9Eb2MueG1sUEsFBgAAAAAG&#10;AAYAWQEAAIUFAAAAAA==&#10;">
                <v:fill on="f" focussize="0,0"/>
                <v:stroke weight="0.5pt" color="#000000 [3200]" miterlimit="8" joinstyle="miter"/>
                <v:imagedata o:title=""/>
                <o:lock v:ext="edit" aspectratio="f"/>
              </v:line>
            </w:pict>
          </mc:Fallback>
        </mc:AlternateContent>
      </w:r>
    </w:p>
    <w:p w14:paraId="2C47E1E6">
      <w:pPr>
        <w:ind w:right="241" w:firstLine="2891" w:firstLineChars="1200"/>
        <w:rPr>
          <w:b/>
          <w:sz w:val="24"/>
          <w:szCs w:val="24"/>
        </w:rPr>
      </w:pPr>
      <w:r>
        <w:rPr>
          <w:rFonts w:hint="eastAsia"/>
          <w:b/>
          <w:sz w:val="24"/>
          <w:szCs w:val="24"/>
        </w:rPr>
        <w:t>伦理委员会签收</w:t>
      </w:r>
    </w:p>
    <w:p w14:paraId="75E94A5A">
      <w:pPr>
        <w:ind w:right="241"/>
        <w:jc w:val="center"/>
        <w:rPr>
          <w:b/>
          <w:sz w:val="22"/>
        </w:rPr>
      </w:pPr>
    </w:p>
    <w:p w14:paraId="35573866">
      <w:pPr>
        <w:ind w:right="241"/>
        <w:jc w:val="center"/>
        <w:rPr>
          <w:b/>
          <w:sz w:val="22"/>
        </w:rPr>
      </w:pPr>
    </w:p>
    <w:p w14:paraId="76812F86">
      <w:pPr>
        <w:ind w:right="241"/>
        <w:jc w:val="left"/>
        <w:rPr>
          <w:bCs/>
          <w:sz w:val="22"/>
        </w:rPr>
      </w:pPr>
      <w:r>
        <w:rPr>
          <w:rFonts w:hint="eastAsia"/>
          <w:bCs/>
          <w:sz w:val="22"/>
        </w:rPr>
        <w:t>我已收到SUSAR相关内容，进行</w:t>
      </w:r>
      <w:r>
        <w:rPr>
          <w:rFonts w:hint="eastAsia" w:asciiTheme="minorEastAsia" w:hAnsiTheme="minorEastAsia"/>
          <w:bCs/>
          <w:sz w:val="22"/>
        </w:rPr>
        <w:t>□</w:t>
      </w:r>
      <w:r>
        <w:rPr>
          <w:rFonts w:hint="eastAsia"/>
          <w:bCs/>
          <w:sz w:val="22"/>
        </w:rPr>
        <w:t xml:space="preserve">备案   </w:t>
      </w:r>
      <w:r>
        <w:rPr>
          <w:rFonts w:hint="eastAsia" w:ascii="宋体" w:hAnsi="宋体" w:eastAsia="宋体"/>
          <w:bCs/>
          <w:sz w:val="22"/>
        </w:rPr>
        <w:t>□</w:t>
      </w:r>
      <w:r>
        <w:rPr>
          <w:rFonts w:hint="eastAsia"/>
          <w:bCs/>
          <w:sz w:val="22"/>
        </w:rPr>
        <w:t xml:space="preserve">快速审查   </w:t>
      </w:r>
      <w:r>
        <w:rPr>
          <w:rFonts w:hint="eastAsia" w:ascii="宋体" w:hAnsi="宋体" w:eastAsia="宋体"/>
          <w:bCs/>
          <w:sz w:val="22"/>
        </w:rPr>
        <w:t>□</w:t>
      </w:r>
      <w:r>
        <w:rPr>
          <w:rFonts w:hint="eastAsia"/>
          <w:bCs/>
          <w:sz w:val="22"/>
        </w:rPr>
        <w:t>会议审查。</w:t>
      </w:r>
    </w:p>
    <w:p w14:paraId="5B0A1B36">
      <w:pPr>
        <w:ind w:right="241"/>
        <w:jc w:val="left"/>
        <w:rPr>
          <w:b/>
          <w:sz w:val="22"/>
        </w:rPr>
      </w:pPr>
    </w:p>
    <w:p w14:paraId="09408FBE">
      <w:pPr>
        <w:ind w:right="241"/>
        <w:jc w:val="left"/>
        <w:rPr>
          <w:b/>
          <w:sz w:val="22"/>
        </w:rPr>
      </w:pPr>
      <w:r>
        <w:rPr>
          <w:rFonts w:hint="eastAsia"/>
          <w:b/>
          <w:sz w:val="22"/>
        </w:rPr>
        <w:t xml:space="preserve">  </w:t>
      </w:r>
    </w:p>
    <w:p w14:paraId="475D6E91">
      <w:pPr>
        <w:wordWrap w:val="0"/>
        <w:ind w:right="241"/>
        <w:jc w:val="right"/>
        <w:rPr>
          <w:b/>
          <w:sz w:val="22"/>
        </w:rPr>
      </w:pPr>
      <w:r>
        <w:rPr>
          <w:rFonts w:hint="eastAsia"/>
          <w:b/>
          <w:sz w:val="22"/>
        </w:rPr>
        <w:t xml:space="preserve">伦理委员会秘书签名：   </w:t>
      </w:r>
    </w:p>
    <w:p w14:paraId="5001994A">
      <w:pPr>
        <w:wordWrap w:val="0"/>
        <w:ind w:right="241"/>
        <w:jc w:val="right"/>
        <w:rPr>
          <w:b/>
          <w:sz w:val="22"/>
        </w:rPr>
      </w:pPr>
    </w:p>
    <w:p w14:paraId="5292C2CB">
      <w:pPr>
        <w:wordWrap w:val="0"/>
        <w:ind w:right="241"/>
        <w:jc w:val="right"/>
        <w:rPr>
          <w:b/>
          <w:sz w:val="22"/>
        </w:rPr>
      </w:pPr>
      <w:r>
        <w:rPr>
          <w:rFonts w:hint="eastAsia"/>
          <w:b/>
          <w:sz w:val="22"/>
        </w:rPr>
        <w:t xml:space="preserve">      </w:t>
      </w:r>
    </w:p>
    <w:p w14:paraId="036F6EFB">
      <w:pPr>
        <w:wordWrap w:val="0"/>
        <w:ind w:right="241"/>
        <w:jc w:val="right"/>
        <w:rPr>
          <w:b/>
          <w:sz w:val="24"/>
          <w:szCs w:val="24"/>
        </w:rPr>
      </w:pPr>
      <w:r>
        <w:rPr>
          <w:rFonts w:hint="eastAsia"/>
          <w:b/>
          <w:sz w:val="22"/>
        </w:rPr>
        <w:t xml:space="preserve">日   期：  </w:t>
      </w:r>
      <w:r>
        <w:rPr>
          <w:rFonts w:hint="eastAsia"/>
          <w:b/>
          <w:sz w:val="24"/>
          <w:szCs w:val="24"/>
        </w:rPr>
        <w:t xml:space="preserve">       </w:t>
      </w:r>
    </w:p>
    <w:p w14:paraId="565EEA0A"/>
    <w:p w14:paraId="140069C5">
      <w:pPr>
        <w:ind w:firstLine="5060" w:firstLineChars="2300"/>
        <w:rPr>
          <w:rFonts w:ascii="宋体" w:hAnsi="宋体" w:eastAsia="宋体" w:cs="宋体"/>
          <w:sz w:val="22"/>
        </w:rPr>
        <w:sectPr>
          <w:headerReference r:id="rId3" w:type="default"/>
          <w:pgSz w:w="11906" w:h="16838"/>
          <w:pgMar w:top="1440" w:right="1800" w:bottom="1440" w:left="1800" w:header="851" w:footer="992" w:gutter="0"/>
          <w:cols w:space="425" w:num="1"/>
          <w:docGrid w:type="lines" w:linePitch="312" w:charSpace="0"/>
        </w:sectPr>
      </w:pPr>
    </w:p>
    <w:p w14:paraId="6CA8B09E">
      <w:pPr>
        <w:rPr>
          <w:rFonts w:ascii="宋体" w:hAnsi="宋体" w:eastAsia="宋体" w:cs="宋体"/>
          <w:b/>
          <w:sz w:val="22"/>
        </w:rPr>
      </w:pPr>
      <w:r>
        <w:rPr>
          <w:rFonts w:hint="eastAsia" w:ascii="宋体" w:hAnsi="宋体" w:eastAsia="宋体" w:cs="宋体"/>
          <w:b/>
          <w:sz w:val="22"/>
        </w:rPr>
        <w:t>5.3 报告流程及时限</w:t>
      </w:r>
    </w:p>
    <w:p w14:paraId="153382C1">
      <w:pPr>
        <w:rPr>
          <w:rFonts w:ascii="宋体" w:hAnsi="宋体" w:eastAsia="宋体" w:cs="宋体"/>
          <w:sz w:val="22"/>
        </w:rPr>
      </w:pPr>
      <w:r>
        <w:rPr>
          <w:rFonts w:hint="eastAsia" w:ascii="宋体" w:hAnsi="宋体" w:eastAsia="宋体" w:cs="宋体"/>
          <w:sz w:val="22"/>
        </w:rPr>
        <w:t>5.3.1本中心发生</w:t>
      </w:r>
      <w:r>
        <w:rPr>
          <w:rFonts w:hint="eastAsia" w:ascii="宋体" w:hAnsi="宋体" w:eastAsia="宋体" w:cs="宋体"/>
          <w:sz w:val="22"/>
          <w:lang w:eastAsia="zh-CN"/>
        </w:rPr>
        <w:t>药物</w:t>
      </w:r>
      <w:r>
        <w:rPr>
          <w:rFonts w:hint="eastAsia" w:ascii="宋体" w:hAnsi="宋体" w:eastAsia="宋体" w:cs="宋体"/>
          <w:sz w:val="22"/>
        </w:rPr>
        <w:t>SAE，研究者应在24小时内报告申办方（除方案另有规定外）；</w:t>
      </w:r>
    </w:p>
    <w:p w14:paraId="038D2412">
      <w:pPr>
        <w:rPr>
          <w:rFonts w:ascii="宋体" w:hAnsi="宋体" w:eastAsia="宋体" w:cs="宋体"/>
          <w:sz w:val="22"/>
        </w:rPr>
      </w:pPr>
      <w:r>
        <w:rPr>
          <w:rFonts w:hint="eastAsia" w:ascii="宋体" w:hAnsi="宋体" w:eastAsia="宋体" w:cs="宋体"/>
          <w:sz w:val="22"/>
        </w:rPr>
        <w:t>5.3.2 研究者在获知本中心</w:t>
      </w:r>
      <w:r>
        <w:rPr>
          <w:rFonts w:hint="eastAsia" w:ascii="宋体" w:hAnsi="宋体" w:eastAsia="宋体" w:cs="宋体"/>
          <w:sz w:val="22"/>
          <w:lang w:eastAsia="zh-CN"/>
        </w:rPr>
        <w:t>药物</w:t>
      </w:r>
      <w:r>
        <w:rPr>
          <w:rFonts w:hint="eastAsia" w:ascii="宋体" w:hAnsi="宋体" w:eastAsia="宋体" w:cs="宋体"/>
          <w:sz w:val="22"/>
        </w:rPr>
        <w:t>SAE后应及时向申办者报告，并初步分析是否为SUSAR。如是SUSAR，要求在24h内报告；非SUSAR的其他SAE，要求3天内或按照研究方案的要求报告。</w:t>
      </w:r>
    </w:p>
    <w:p w14:paraId="44746E14">
      <w:pPr>
        <w:rPr>
          <w:rFonts w:ascii="宋体" w:hAnsi="宋体" w:eastAsia="宋体" w:cs="宋体"/>
          <w:sz w:val="22"/>
        </w:rPr>
      </w:pPr>
      <w:r>
        <w:rPr>
          <w:rFonts w:hint="eastAsia" w:ascii="宋体" w:hAnsi="宋体" w:eastAsia="宋体" w:cs="宋体"/>
          <w:sz w:val="22"/>
        </w:rPr>
        <w:t>5.3.3 对于致死或危及生命的SUSAR，申办方应在首次获知后尽快且不超过7天，将相关情况报告研究者，经研究者审阅签字后递交临床试验机构和伦理委员会，并在之后的8天内完善随访信息；</w:t>
      </w:r>
    </w:p>
    <w:p w14:paraId="3E46EB89">
      <w:pPr>
        <w:rPr>
          <w:rFonts w:ascii="宋体" w:hAnsi="宋体" w:eastAsia="宋体" w:cs="宋体"/>
          <w:sz w:val="22"/>
        </w:rPr>
      </w:pPr>
      <w:r>
        <w:rPr>
          <w:rFonts w:hint="eastAsia" w:ascii="宋体" w:hAnsi="宋体" w:eastAsia="宋体" w:cs="宋体"/>
          <w:sz w:val="22"/>
        </w:rPr>
        <w:t>5.3.4 对于非致死或危及生命的SUSAR，申办方应在首次获知后尽快且不超过15天报告研究者，经研究者审阅签字后递交临床试验机构和伦理委员会；</w:t>
      </w:r>
    </w:p>
    <w:p w14:paraId="19CBF110">
      <w:pPr>
        <w:rPr>
          <w:rFonts w:ascii="宋体" w:hAnsi="宋体" w:eastAsia="宋体" w:cs="宋体"/>
          <w:sz w:val="22"/>
        </w:rPr>
      </w:pPr>
      <w:r>
        <w:rPr>
          <w:rFonts w:hint="eastAsia" w:ascii="宋体" w:hAnsi="宋体" w:eastAsia="宋体" w:cs="宋体"/>
          <w:sz w:val="22"/>
        </w:rPr>
        <w:t>5.3.5 关于研发期间的安全性报告，可依据申办方工作流程自行拟定；</w:t>
      </w:r>
    </w:p>
    <w:p w14:paraId="67F3B86F">
      <w:pPr>
        <w:rPr>
          <w:rFonts w:hint="eastAsia" w:ascii="宋体" w:hAnsi="宋体" w:eastAsia="宋体" w:cs="宋体"/>
          <w:color w:val="auto"/>
          <w:sz w:val="22"/>
        </w:rPr>
      </w:pPr>
      <w:r>
        <w:rPr>
          <w:rFonts w:hint="eastAsia" w:ascii="宋体" w:hAnsi="宋体" w:eastAsia="宋体" w:cs="宋体"/>
          <w:sz w:val="22"/>
        </w:rPr>
        <w:t>5.3.6 所有</w:t>
      </w:r>
      <w:r>
        <w:rPr>
          <w:rFonts w:hint="eastAsia" w:ascii="宋体" w:hAnsi="宋体" w:eastAsia="宋体" w:cs="宋体"/>
          <w:color w:val="auto"/>
          <w:sz w:val="22"/>
        </w:rPr>
        <w:t>SUSAR及安全性报告均以中文版本递交。</w:t>
      </w:r>
    </w:p>
    <w:p w14:paraId="7F08E689">
      <w:pPr>
        <w:rPr>
          <w:rFonts w:hint="eastAsia" w:ascii="宋体" w:hAnsi="宋体" w:eastAsia="宋体" w:cs="宋体"/>
          <w:sz w:val="22"/>
          <w:lang w:val="en-US" w:eastAsia="zh-CN"/>
        </w:rPr>
      </w:pPr>
      <w:r>
        <w:rPr>
          <w:rFonts w:hint="eastAsia" w:ascii="宋体" w:hAnsi="宋体" w:eastAsia="宋体" w:cs="宋体"/>
          <w:color w:val="auto"/>
          <w:sz w:val="22"/>
          <w:lang w:val="en-US" w:eastAsia="zh-CN"/>
        </w:rPr>
        <w:t>5.3.7</w:t>
      </w:r>
      <w:r>
        <w:rPr>
          <w:rFonts w:hint="eastAsia" w:ascii="宋体" w:hAnsi="宋体" w:eastAsia="宋体" w:cs="宋体"/>
          <w:sz w:val="22"/>
        </w:rPr>
        <w:t>本中心发生医疗器械SAE时，研究者应当立即对受试者</w:t>
      </w:r>
      <w:r>
        <w:rPr>
          <w:rFonts w:hint="eastAsia" w:ascii="宋体" w:hAnsi="宋体" w:eastAsia="宋体" w:cs="宋体"/>
          <w:sz w:val="22"/>
          <w:lang w:val="en-US" w:eastAsia="zh-CN"/>
        </w:rPr>
        <w:t>提供足够、及时的治疗和处理</w:t>
      </w:r>
      <w:r>
        <w:rPr>
          <w:rFonts w:hint="eastAsia" w:ascii="宋体" w:hAnsi="宋体" w:eastAsia="宋体" w:cs="宋体"/>
          <w:sz w:val="22"/>
        </w:rPr>
        <w:t>；</w:t>
      </w:r>
      <w:r>
        <w:rPr>
          <w:rFonts w:hint="eastAsia" w:ascii="宋体" w:hAnsi="宋体" w:eastAsia="宋体" w:cs="宋体"/>
          <w:sz w:val="22"/>
          <w:lang w:val="en-US" w:eastAsia="zh-CN"/>
        </w:rPr>
        <w:t>当受试者出现并发疾病需要治疗和处理时，研究者应当及时告知受试者。研究者应当记录医疗器械临床试验过程中发生的不良事件和发现的器械缺陷；</w:t>
      </w:r>
    </w:p>
    <w:p w14:paraId="717D7015">
      <w:pPr>
        <w:rPr>
          <w:rFonts w:hint="eastAsia" w:ascii="宋体" w:hAnsi="宋体" w:eastAsia="宋体" w:cs="宋体"/>
          <w:sz w:val="22"/>
          <w:lang w:eastAsia="zh-CN"/>
        </w:rPr>
      </w:pPr>
      <w:r>
        <w:rPr>
          <w:rFonts w:hint="eastAsia" w:ascii="宋体" w:hAnsi="宋体" w:eastAsia="宋体" w:cs="宋体"/>
          <w:sz w:val="22"/>
          <w:lang w:val="en-US" w:eastAsia="zh-CN"/>
        </w:rPr>
        <w:t>5.3.8</w:t>
      </w:r>
      <w:r>
        <w:rPr>
          <w:rFonts w:hint="eastAsia" w:ascii="宋体" w:hAnsi="宋体" w:eastAsia="宋体" w:cs="宋体"/>
          <w:sz w:val="22"/>
        </w:rPr>
        <w:t>研究者应当在获知医疗器械SAE后24小时内，向申办者、医疗器械临床试验机构管理部门、伦理委员会报告；并按照临床试验方案的规定随访严重不良事件，提交严重不良事件随访报告</w:t>
      </w:r>
      <w:r>
        <w:rPr>
          <w:rFonts w:hint="eastAsia" w:ascii="宋体" w:hAnsi="宋体" w:eastAsia="宋体" w:cs="宋体"/>
          <w:sz w:val="22"/>
          <w:lang w:eastAsia="zh-CN"/>
        </w:rPr>
        <w:t>。</w:t>
      </w:r>
    </w:p>
    <w:p w14:paraId="26E645A4">
      <w:pPr>
        <w:rPr>
          <w:rFonts w:hint="eastAsia" w:ascii="宋体" w:hAnsi="宋体" w:eastAsia="宋体" w:cs="宋体"/>
          <w:sz w:val="22"/>
          <w:lang w:val="en-US" w:eastAsia="zh-CN"/>
        </w:rPr>
      </w:pPr>
      <w:r>
        <w:rPr>
          <w:rFonts w:hint="eastAsia" w:ascii="宋体" w:hAnsi="宋体" w:eastAsia="宋体" w:cs="宋体"/>
          <w:sz w:val="22"/>
          <w:lang w:val="en-US" w:eastAsia="zh-CN"/>
        </w:rPr>
        <w:t>5.3.9如涉及死亡事件的报告，研究者应向伦理委员会提供其他所需要的资料，如尸检报告和最终医学报告。</w:t>
      </w:r>
    </w:p>
    <w:p w14:paraId="7F8F775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9F4F">
    <w:pPr>
      <w:pStyle w:val="2"/>
      <w:jc w:val="left"/>
    </w:pPr>
    <w:r>
      <w:rPr>
        <w:rFonts w:hint="eastAsia"/>
      </w:rPr>
      <w:t>中国医学科学院整形外科医院</w:t>
    </w:r>
  </w:p>
  <w:p w14:paraId="77001F49">
    <w:pPr>
      <w:pStyle w:val="2"/>
      <w:jc w:val="left"/>
    </w:pPr>
    <w:r>
      <w:rPr>
        <w:rFonts w:hint="eastAsia"/>
      </w:rPr>
      <w:t>临床试验伦理委员会</w:t>
    </w:r>
    <w:r>
      <w:rPr>
        <w:rFonts w:hint="eastAsia" w:asciiTheme="minorEastAsia" w:hAnsiTheme="minorEastAsia"/>
      </w:rPr>
      <w:sym w:font="Wingdings 2" w:char="00A3"/>
    </w:r>
    <w:r>
      <w:t xml:space="preserve"> </w:t>
    </w:r>
    <w:r>
      <w:rPr>
        <w:rFonts w:hint="eastAsia"/>
      </w:rPr>
      <w:t xml:space="preserve">   医学伦理委员会</w:t>
    </w:r>
    <w:r>
      <w:rPr>
        <w:rFonts w:hint="eastAsia" w:asciiTheme="minorEastAsia" w:hAnsiTheme="minorEastAsia"/>
      </w:rPr>
      <w:t>□</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9F3427"/>
    <w:rsid w:val="159F3427"/>
    <w:rsid w:val="40033DD2"/>
    <w:rsid w:val="4B705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737</Words>
  <Characters>815</Characters>
  <Lines>0</Lines>
  <Paragraphs>0</Paragraphs>
  <TotalTime>0</TotalTime>
  <ScaleCrop>false</ScaleCrop>
  <LinksUpToDate>false</LinksUpToDate>
  <CharactersWithSpaces>990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2021-09-10T01:22:00Z</dcterms:created>
  <dc:creator>peiye2</dc:creator>
  <cp:lastModifiedBy>王子雯</cp:lastModifiedBy>
  <dcterms:modified xsi:type="dcterms:W3CDTF">2026-06-02T01:26:30Z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75127D1F1805431889E9D40DC7C1B47F</vt:lpwstr>
  </property>
  <property fmtid="{D5CDD505-2E9C-101B-9397-08002B2CF9AE}" pid="4" name="KSOTemplateDocerSaveRecord">
    <vt:lpwstr>eyJoZGlkIjoiNTg0NDdiODkxM2ZmNzBiNTYwMGRkMDUyZjM4YjQyYTciLCJ1c2VySWQiOiI1MzQxMDU2NzIifQ==</vt:lpwstr>
  </property>
</Properties>
</file>